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default" w:ascii="Times New Roman" w:hAnsi="Times New Roman" w:cs="Times New Roman"/>
        </w:rPr>
      </w:pPr>
    </w:p>
    <w:p>
      <w:pPr>
        <w:spacing w:line="640" w:lineRule="exact"/>
        <w:jc w:val="center"/>
        <w:rPr>
          <w:rFonts w:hint="default" w:ascii="Times New Roman" w:hAnsi="Times New Roman" w:cs="Times New Roman"/>
        </w:rPr>
      </w:pPr>
    </w:p>
    <w:p>
      <w:pPr>
        <w:spacing w:line="640" w:lineRule="exact"/>
        <w:jc w:val="center"/>
        <w:rPr>
          <w:rFonts w:hint="default" w:ascii="Times New Roman" w:hAnsi="Times New Roman" w:cs="Times New Roman"/>
        </w:rPr>
      </w:pPr>
    </w:p>
    <w:p>
      <w:pPr>
        <w:spacing w:line="640" w:lineRule="exact"/>
        <w:jc w:val="center"/>
        <w:rPr>
          <w:rFonts w:hint="default" w:ascii="Times New Roman" w:hAnsi="Times New Roman" w:cs="Times New Roman"/>
        </w:rPr>
      </w:pPr>
    </w:p>
    <w:p>
      <w:pPr>
        <w:spacing w:line="640" w:lineRule="exact"/>
        <w:jc w:val="center"/>
        <w:rPr>
          <w:rFonts w:hint="default" w:ascii="Times New Roman" w:hAnsi="Times New Roman" w:cs="Times New Roman"/>
        </w:rPr>
      </w:pPr>
    </w:p>
    <w:p>
      <w:pPr>
        <w:spacing w:line="640" w:lineRule="exact"/>
        <w:jc w:val="center"/>
        <w:rPr>
          <w:rFonts w:hint="default" w:ascii="Times New Roman" w:hAnsi="Times New Roman" w:cs="Times New Roman"/>
        </w:rPr>
      </w:pPr>
    </w:p>
    <w:p>
      <w:pPr>
        <w:spacing w:line="640" w:lineRule="exact"/>
        <w:jc w:val="center"/>
        <w:rPr>
          <w:rFonts w:hint="default" w:ascii="Times New Roman" w:hAnsi="Times New Roman" w:cs="Times New Roman"/>
        </w:rPr>
      </w:pPr>
    </w:p>
    <w:p>
      <w:pPr>
        <w:pStyle w:val="7"/>
        <w:shd w:val="clear" w:color="auto" w:fill="FFFFFF"/>
        <w:spacing w:before="0" w:beforeAutospacing="0" w:after="0" w:afterAutospacing="0" w:line="640" w:lineRule="exact"/>
        <w:ind w:firstLine="2880" w:firstLineChars="900"/>
        <w:jc w:val="both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  <w:t>邻鄂府发﹝2021﹞</w:t>
      </w:r>
      <w:r>
        <w:rPr>
          <w:rFonts w:hint="eastAsia" w:ascii="Times New Roman" w:hAnsi="Times New Roman" w:eastAsia="方正仿宋_GBK" w:cs="Times New Roman"/>
          <w:color w:val="333333"/>
          <w:sz w:val="32"/>
          <w:szCs w:val="32"/>
          <w:lang w:val="en-US" w:eastAsia="zh-CN"/>
        </w:rPr>
        <w:t>38</w:t>
      </w:r>
      <w:r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  <w:t>号</w:t>
      </w:r>
    </w:p>
    <w:p>
      <w:pPr>
        <w:spacing w:line="56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黔江区邻鄂镇人民政府</w:t>
      </w:r>
    </w:p>
    <w:p>
      <w:pPr>
        <w:spacing w:line="600" w:lineRule="exact"/>
        <w:jc w:val="center"/>
        <w:rPr>
          <w:rFonts w:ascii="方正小标宋_GBK" w:eastAsia="方正小标宋_GBK"/>
          <w:color w:val="000000"/>
          <w:sz w:val="44"/>
          <w:szCs w:val="44"/>
        </w:rPr>
      </w:pPr>
      <w:bookmarkStart w:id="0" w:name="_GoBack"/>
      <w:r>
        <w:rPr>
          <w:rFonts w:hint="eastAsia" w:ascii="方正小标宋_GBK" w:eastAsia="方正小标宋_GBK" w:cs="方正小标宋_GBK"/>
          <w:color w:val="000000"/>
          <w:sz w:val="44"/>
          <w:szCs w:val="44"/>
        </w:rPr>
        <w:t>关于印发2021年全镇消防工作意见的通知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</w:p>
    <w:p>
      <w:pPr>
        <w:spacing w:line="600" w:lineRule="exact"/>
        <w:textAlignment w:val="baseline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各村（居）委、镇级各部门，有关单位：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经镇政府同意，现将《2021年全镇消防工作意见》印发给你们，请认真贯彻落实。</w:t>
      </w:r>
    </w:p>
    <w:p>
      <w:pPr>
        <w:adjustRightInd w:val="0"/>
        <w:snapToGrid w:val="0"/>
        <w:spacing w:line="600" w:lineRule="exact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spacing w:line="600" w:lineRule="exact"/>
        <w:ind w:firstLine="640" w:firstLineChars="200"/>
        <w:jc w:val="center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spacing w:line="600" w:lineRule="exact"/>
        <w:ind w:firstLine="640" w:firstLineChars="200"/>
        <w:jc w:val="center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 xml:space="preserve">                    黔江区邻鄂镇人民政府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 xml:space="preserve">               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 xml:space="preserve"> 2021年4月1日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</w:p>
    <w:p>
      <w:pPr>
        <w:pStyle w:val="3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tabs>
          <w:tab w:val="left" w:pos="39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2021年全镇消防工作意见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000000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以习近平新时代中国特色社会主义思想为指 导，全面贯彻党的十九大和十九届二中、三中、四中、五中全会精神，增强“四个意识”，坚定“四个自信”，做到“两个维护”，贯彻新发展理念，适应新发展阶段，融入新发展格局，坚持问题导向、预防为先、综合施策，坚持“两个至上”，统筹“两件大事”，立足防风险、保安全、护稳定，持续深化消防改革，创新社会消防治理，夯实消防基层基础，切实防范化解重大消防安全风险，为建党 100 周年创造良好消防安全环境。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一、</w:t>
      </w:r>
      <w:r>
        <w:rPr>
          <w:rFonts w:hint="default" w:ascii="Times New Roman" w:hAnsi="Times New Roman" w:eastAsia="方正黑体_GBK" w:cs="Times New Roman"/>
          <w:bCs/>
          <w:color w:val="000000"/>
          <w:sz w:val="32"/>
          <w:szCs w:val="32"/>
        </w:rPr>
        <w:t>强化责任落实</w:t>
      </w:r>
      <w: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  <w:t>、健全责任体系，全面构建齐抓共管消防工作体系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1. 强化党委政府落实领导责任。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深入贯彻落实国务院《消防安全责任制实施办法》《重庆市消防安全督办约谈实施办法》，制定消防工作“党政同责，一岗双责”具体措施，定期研究部署消防工作、解决重大消防安全问题，并将消防工作纳入经济社会发展考核范畴。实体化运行消防安全委员会，完善并落实风险研判、督查通报、约谈提示等机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2. 强化村（居）属地责任。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完善村（居）消防工作领导机构，明确消防管理人员，落实村（居）干部、网格员、楼院长、微型消防站队员等基层防控人员消防安全职责。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3. 强化社会单位主体责任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。社会单位持续开展“四个能力”建设，落实“三自主两公开一承诺”制度，建强微型消防站和志愿消防队。严格落实《重庆市火灾高危单位消防安全管理规定》，鼓励建立专职消防管理团队。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4. 强化火灾事故责任追究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。建立政府领导、消防牵头、部门配合的火灾事故调查处理机制，强化火灾事故“一案三查”，开展延伸调查，对亡人和有重大影响的火灾开展组织调查处理。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二、强化综合施策、优化治理体系，全面推动消防监管模式转型升级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5. 持续推进专项整治三年行动。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启动安全专项整治三年行动“月调度、季通报、年考评”工作机制，攻坚整治隐患，建立长效机制。加强风险研判和预警提示，各行业领域有针对性地开展消防安全风险专项评估。突出火源电源、易燃可燃物、人员素质等关键要素，对火灾多发、频发行业领域开展督查检查，对老旧小区、小加工作坊、“三合一”场所等进行综合治理。研判新材料新产业新业态风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6. 优化消防监督管理模式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有序推进公众聚集场所投入使用、营业前消防安全检查告知承诺管理。深入推进“双随机、一公开”监管，建立完善差异化监管机制。探索在易燃易爆场所、生产加工等火灾高危行业，试行第三方参与消防安全检查制度。建立完善市场监管、规建、消防全链条消防产品监管机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7.完善基层末端消防安全监管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。各村（居）将消防管理纳入以“网格+网络”为核心的社区治理智能化网格化共治平台，整合接入消防管理模块，落实“九小场所”监管责任。鼓励采取政府购买公共服务方式开展消防检查，全面提升执法量。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8.拓展消防宣传教育平台。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加强镇级、村（居）2级应急消防科普教育阵地建设。建强媒体宣传平台，实现电视、报刊、网络、微信、微博、客户端一体化协作运作。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9.深化消防宣传教育培训</w:t>
      </w:r>
      <w:r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  <w:t>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强化消防宣传进企业、进农村、进社区、进学校、进家庭的“五进”工作，应急、农村、民政、教育、文化等部门分类指导落实。公共文化服务中心指导广播、网络等媒体加大消防公益宣传力度。邻鄂中心小学校等部门将消防知识纳入文明创建、普法教育、国民素质教育范畴，农服中心将消防知识纳入“农业实用人才培训项目”。加强党政领导、社区干部、派出所民警、网格员以及社会单位责任人、管理人和重点岗位人员等群体消防业务培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10.加大火灾隐患排查整治力度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落实消防安全风险评估研判机制，强化季节性、常态化火灾防控，推进“打通生命通道”等专项治理行动。紧盯超市、危化品零售点、厂房库房、“多合一”等高风险场所以及、出租屋、农村大院等不托底区域，分行业、分领域、分区域开展火灾隐患大排查大整治大执法。将重大火灾隐患纳入重庆市防范化解重大风险信息管理系统，集中曝光、处理一批突出火灾隐患。完善火灾隐患投诉举报奖励机制。结合“平安乡村”建设，集中整治农村消防安全突出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三、强化实战牵引、完善力量体系，全面提升综合应急救援水平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11.推进多种形式消防队伍建设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。实现常住人口超千人的行政村建立志愿消防队。完善</w:t>
      </w:r>
      <w:r>
        <w:rPr>
          <w:rFonts w:hint="default" w:ascii="Times New Roman" w:hAnsi="Times New Roman" w:eastAsia="方正仿宋_GBK" w:cs="Times New Roman"/>
          <w:sz w:val="32"/>
          <w:szCs w:val="32"/>
          <w:lang w:val="zh-TW"/>
        </w:rPr>
        <w:t>多种形式消防志愿队伍业务指导、执勤训练、调度指挥、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联勤联动、业务培训等机制。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12.完善灭火应急救援联动机制。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开展专业应急力量和社会应急力量调研评估，将各村（居）志愿消防队的救援力量纳入联动处置体系。</w:t>
      </w:r>
      <w:r>
        <w:rPr>
          <w:rFonts w:hint="default" w:ascii="Times New Roman" w:hAnsi="Times New Roman" w:eastAsia="方正仿宋_GBK" w:cs="Times New Roman"/>
          <w:sz w:val="32"/>
          <w:szCs w:val="32"/>
          <w:lang w:val="zh-TW"/>
        </w:rPr>
        <w:t>完善应急救援物资、装备器材及灭火药剂联勤保障、动态存储、应急供应和技术保障等社会联动机制。</w:t>
      </w:r>
    </w:p>
    <w:p>
      <w:pPr>
        <w:pStyle w:val="3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3"/>
        <w:rPr>
          <w:rFonts w:hint="default"/>
        </w:rPr>
      </w:pPr>
    </w:p>
    <w:p>
      <w:pPr>
        <w:pStyle w:val="3"/>
        <w:rPr>
          <w:rFonts w:hint="default"/>
        </w:rPr>
      </w:pPr>
    </w:p>
    <w:p>
      <w:pPr>
        <w:pStyle w:val="3"/>
        <w:rPr>
          <w:rFonts w:hint="default"/>
        </w:rPr>
      </w:pPr>
    </w:p>
    <w:p>
      <w:pPr>
        <w:pStyle w:val="3"/>
        <w:rPr>
          <w:rFonts w:hint="default"/>
        </w:rPr>
      </w:pPr>
    </w:p>
    <w:p>
      <w:pPr>
        <w:pStyle w:val="3"/>
        <w:rPr>
          <w:rFonts w:hint="default"/>
        </w:rPr>
      </w:pPr>
    </w:p>
    <w:p>
      <w:pPr>
        <w:pStyle w:val="3"/>
        <w:rPr>
          <w:rFonts w:hint="default"/>
        </w:rPr>
      </w:pPr>
    </w:p>
    <w:p>
      <w:pPr>
        <w:pStyle w:val="3"/>
        <w:rPr>
          <w:rFonts w:hint="default"/>
        </w:rPr>
      </w:pPr>
    </w:p>
    <w:p>
      <w:pPr>
        <w:pStyle w:val="3"/>
        <w:rPr>
          <w:rFonts w:hint="default"/>
        </w:rPr>
      </w:pPr>
    </w:p>
    <w:p>
      <w:pPr>
        <w:pStyle w:val="3"/>
        <w:rPr>
          <w:rFonts w:hint="default"/>
        </w:rPr>
      </w:pPr>
    </w:p>
    <w:p>
      <w:pPr>
        <w:pStyle w:val="3"/>
        <w:rPr>
          <w:rFonts w:hint="default"/>
        </w:rPr>
      </w:pPr>
    </w:p>
    <w:p>
      <w:pPr>
        <w:pStyle w:val="3"/>
        <w:rPr>
          <w:rFonts w:hint="default"/>
        </w:rPr>
      </w:pPr>
    </w:p>
    <w:p>
      <w:pPr>
        <w:pStyle w:val="3"/>
        <w:rPr>
          <w:rFonts w:hint="default"/>
        </w:rPr>
      </w:pPr>
    </w:p>
    <w:p>
      <w:pPr>
        <w:pStyle w:val="3"/>
        <w:rPr>
          <w:rFonts w:hint="default"/>
        </w:rPr>
      </w:pPr>
    </w:p>
    <w:p>
      <w:pPr>
        <w:pStyle w:val="3"/>
        <w:rPr>
          <w:rFonts w:hint="default"/>
        </w:rPr>
      </w:pPr>
    </w:p>
    <w:p>
      <w:pPr>
        <w:pStyle w:val="3"/>
        <w:rPr>
          <w:rFonts w:hint="default"/>
        </w:rPr>
      </w:pPr>
    </w:p>
    <w:p>
      <w:pPr>
        <w:pStyle w:val="3"/>
        <w:rPr>
          <w:rFonts w:hint="default"/>
        </w:rPr>
      </w:pPr>
    </w:p>
    <w:p>
      <w:pPr>
        <w:pStyle w:val="3"/>
        <w:rPr>
          <w:rFonts w:hint="default"/>
        </w:rPr>
      </w:pPr>
    </w:p>
    <w:p>
      <w:pPr>
        <w:pStyle w:val="3"/>
        <w:rPr>
          <w:rFonts w:hint="default"/>
        </w:rPr>
      </w:pPr>
    </w:p>
    <w:p>
      <w:pPr>
        <w:pStyle w:val="3"/>
        <w:rPr>
          <w:rFonts w:hint="default"/>
        </w:rPr>
      </w:pPr>
    </w:p>
    <w:p>
      <w:pPr>
        <w:pStyle w:val="3"/>
        <w:rPr>
          <w:rFonts w:hint="default"/>
        </w:rPr>
      </w:pPr>
    </w:p>
    <w:p>
      <w:pPr>
        <w:pStyle w:val="3"/>
        <w:rPr>
          <w:rFonts w:hint="default"/>
        </w:rPr>
      </w:pPr>
    </w:p>
    <w:p>
      <w:pPr>
        <w:pStyle w:val="3"/>
        <w:rPr>
          <w:rFonts w:hint="default"/>
        </w:rPr>
      </w:pPr>
    </w:p>
    <w:p>
      <w:pPr>
        <w:pStyle w:val="3"/>
        <w:rPr>
          <w:rFonts w:hint="default"/>
        </w:rPr>
      </w:pPr>
    </w:p>
    <w:p>
      <w:pPr>
        <w:pStyle w:val="3"/>
        <w:rPr>
          <w:rFonts w:hint="default"/>
        </w:rPr>
      </w:pPr>
    </w:p>
    <w:p>
      <w:pPr>
        <w:pStyle w:val="3"/>
        <w:rPr>
          <w:rFonts w:hint="default"/>
        </w:rPr>
      </w:pPr>
    </w:p>
    <w:p>
      <w:pPr>
        <w:pStyle w:val="3"/>
        <w:rPr>
          <w:rFonts w:hint="default"/>
        </w:rPr>
      </w:pPr>
    </w:p>
    <w:p>
      <w:pPr>
        <w:pStyle w:val="3"/>
        <w:rPr>
          <w:rFonts w:hint="default"/>
        </w:rPr>
      </w:pPr>
    </w:p>
    <w:p>
      <w:pPr>
        <w:pStyle w:val="3"/>
        <w:rPr>
          <w:rFonts w:hint="default"/>
        </w:rPr>
      </w:pPr>
    </w:p>
    <w:p>
      <w:pPr>
        <w:pStyle w:val="3"/>
        <w:rPr>
          <w:rFonts w:hint="default"/>
        </w:rPr>
      </w:pPr>
    </w:p>
    <w:p>
      <w:pPr>
        <w:pStyle w:val="3"/>
        <w:rPr>
          <w:rFonts w:hint="default"/>
        </w:rPr>
      </w:pPr>
    </w:p>
    <w:p>
      <w:pPr>
        <w:pStyle w:val="3"/>
        <w:rPr>
          <w:rFonts w:hint="default"/>
        </w:rPr>
      </w:pPr>
    </w:p>
    <w:p>
      <w:pPr>
        <w:pStyle w:val="3"/>
        <w:rPr>
          <w:rFonts w:hint="default"/>
        </w:rPr>
      </w:pPr>
    </w:p>
    <w:p>
      <w:pPr>
        <w:pStyle w:val="3"/>
        <w:rPr>
          <w:rFonts w:hint="default"/>
        </w:rPr>
      </w:pPr>
    </w:p>
    <w:p>
      <w:pPr>
        <w:pStyle w:val="3"/>
        <w:rPr>
          <w:rFonts w:hint="default"/>
        </w:rPr>
      </w:pPr>
    </w:p>
    <w:p>
      <w:pPr>
        <w:pStyle w:val="3"/>
        <w:rPr>
          <w:rFonts w:hint="default"/>
        </w:rPr>
      </w:pPr>
    </w:p>
    <w:p>
      <w:pPr>
        <w:pStyle w:val="3"/>
        <w:rPr>
          <w:rFonts w:hint="default"/>
        </w:rPr>
      </w:pPr>
    </w:p>
    <w:p>
      <w:pPr>
        <w:pStyle w:val="3"/>
        <w:rPr>
          <w:rFonts w:hint="default"/>
        </w:rPr>
      </w:pPr>
    </w:p>
    <w:p>
      <w:pPr>
        <w:pStyle w:val="3"/>
        <w:rPr>
          <w:rFonts w:hint="default"/>
        </w:rPr>
      </w:pPr>
    </w:p>
    <w:p>
      <w:pPr>
        <w:pStyle w:val="3"/>
        <w:rPr>
          <w:rFonts w:hint="default"/>
        </w:rPr>
      </w:pPr>
    </w:p>
    <w:p>
      <w:pPr>
        <w:pStyle w:val="3"/>
        <w:rPr>
          <w:rFonts w:hint="default"/>
        </w:rPr>
      </w:pPr>
    </w:p>
    <w:p>
      <w:pPr>
        <w:pStyle w:val="3"/>
        <w:rPr>
          <w:rFonts w:hint="default"/>
        </w:rPr>
      </w:pPr>
    </w:p>
    <w:p>
      <w:pPr>
        <w:pStyle w:val="3"/>
        <w:rPr>
          <w:rFonts w:hint="default"/>
        </w:rPr>
      </w:pPr>
    </w:p>
    <w:p>
      <w:pPr>
        <w:pStyle w:val="3"/>
        <w:rPr>
          <w:rFonts w:hint="default"/>
        </w:rPr>
      </w:pPr>
    </w:p>
    <w:p>
      <w:pPr>
        <w:pStyle w:val="3"/>
        <w:rPr>
          <w:rFonts w:hint="default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80" w:firstLineChars="100"/>
        <w:jc w:val="both"/>
        <w:textAlignment w:val="auto"/>
        <w:rPr>
          <w:rFonts w:hint="eastAsia" w:ascii="Times New Roman" w:hAnsi="Times New Roman" w:eastAsia="方正仿宋_GBK" w:cs="Times New Roman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-10160</wp:posOffset>
                </wp:positionH>
                <wp:positionV relativeFrom="paragraph">
                  <wp:posOffset>60325</wp:posOffset>
                </wp:positionV>
                <wp:extent cx="5573395" cy="635"/>
                <wp:effectExtent l="0" t="0" r="0" b="0"/>
                <wp:wrapNone/>
                <wp:docPr id="5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0.8pt;margin-top:4.75pt;height:0.05pt;width:438.85pt;z-index:251659264;mso-width-relative:page;mso-height-relative:page;" filled="f" stroked="t" coordsize="21600,21600" o:gfxdata="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BoOOpJ1AAAAAYBAAAPAAAA&#10;AAAAAAEAIAAAACIAAABkcnMvZG93bnJldi54bWxQSwECFAAUAAAACACHTuJAhhIDGuABAADpAwAA&#10;DgAAAAAAAAABACAAAAAjAQAAZHJzL2Uyb0RvYy54bWxQSwUGAAAAAAYABgBZAQAAd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342900</wp:posOffset>
                </wp:positionV>
                <wp:extent cx="5600700" cy="635"/>
                <wp:effectExtent l="0" t="0" r="0" b="0"/>
                <wp:wrapNone/>
                <wp:docPr id="4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1.5pt;margin-top:27pt;height:0.05pt;width:441pt;z-index:251659264;mso-width-relative:page;mso-height-relative:page;" filled="f" stroked="t" coordsize="21600,21600" o:gfxdata="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IKEkZvWAAAACAEAAA8A&#10;AAAAAAAAAQAgAAAAIgAAAGRycy9kb3ducmV2LnhtbFBLAQIUABQAAAAIAIdO4kAi4fr/4AEAAOkD&#10;AAAOAAAAAAAAAAEAIAAAACUBAABkcnMvZTJvRG9jLnhtbFBLBQYAAAAABgAGAFkBAAB3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w:t xml:space="preserve">黔江区邻鄂镇党政办公室　    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  <w:lang w:val="en-US" w:eastAsia="zh-CN"/>
        </w:rPr>
        <w:t xml:space="preserve">          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w:t xml:space="preserve"> </w:t>
      </w:r>
      <w:r>
        <w:rPr>
          <w:rFonts w:hint="eastAsia" w:eastAsia="方正仿宋_GBK" w:cs="Times New Roman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w:t>2021年</w:t>
      </w:r>
      <w:r>
        <w:rPr>
          <w:rFonts w:hint="eastAsia" w:eastAsia="方正仿宋_GBK" w:cs="Times New Roman"/>
          <w:color w:val="000000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w:t>月</w:t>
      </w:r>
      <w:r>
        <w:rPr>
          <w:rFonts w:hint="eastAsia" w:eastAsia="方正仿宋_GBK" w:cs="Times New Roman"/>
          <w:color w:val="000000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w:t>日印</w:t>
      </w:r>
      <w:r>
        <w:rPr>
          <w:rFonts w:hint="eastAsia" w:eastAsia="方正仿宋_GBK" w:cs="Times New Roman"/>
          <w:color w:val="000000"/>
          <w:sz w:val="28"/>
          <w:szCs w:val="28"/>
          <w:lang w:val="en-US" w:eastAsia="zh-CN"/>
        </w:rPr>
        <w:t>发</w:t>
      </w:r>
    </w:p>
    <w:sectPr>
      <w:headerReference r:id="rId3" w:type="default"/>
      <w:footerReference r:id="rId4" w:type="default"/>
      <w:footerReference r:id="rId5" w:type="even"/>
      <w:pgSz w:w="11906" w:h="16838"/>
      <w:pgMar w:top="1984" w:right="1446" w:bottom="1644" w:left="1446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10"/>
        <w:rFonts w:ascii="宋体"/>
        <w:sz w:val="28"/>
        <w:szCs w:val="28"/>
      </w:rPr>
    </w:pPr>
    <w:r>
      <w:rPr>
        <w:rStyle w:val="10"/>
        <w:rFonts w:ascii="宋体" w:hAnsi="宋体"/>
        <w:sz w:val="28"/>
        <w:szCs w:val="28"/>
      </w:rPr>
      <w:fldChar w:fldCharType="begin"/>
    </w:r>
    <w:r>
      <w:rPr>
        <w:rStyle w:val="10"/>
        <w:rFonts w:ascii="宋体" w:hAnsi="宋体"/>
        <w:sz w:val="28"/>
        <w:szCs w:val="28"/>
      </w:rPr>
      <w:instrText xml:space="preserve">PAGE  </w:instrText>
    </w:r>
    <w:r>
      <w:rPr>
        <w:rStyle w:val="10"/>
        <w:rFonts w:ascii="宋体" w:hAnsi="宋体"/>
        <w:sz w:val="28"/>
        <w:szCs w:val="28"/>
      </w:rPr>
      <w:fldChar w:fldCharType="separate"/>
    </w:r>
    <w:r>
      <w:rPr>
        <w:rStyle w:val="10"/>
        <w:rFonts w:ascii="宋体" w:hAnsi="宋体"/>
        <w:sz w:val="28"/>
        <w:szCs w:val="28"/>
      </w:rPr>
      <w:t>- 1 -</w:t>
    </w:r>
    <w:r>
      <w:rPr>
        <w:rStyle w:val="10"/>
        <w:rFonts w:ascii="宋体" w:hAnsi="宋体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3D75"/>
    <w:rsid w:val="00092634"/>
    <w:rsid w:val="0023293B"/>
    <w:rsid w:val="002D6CB2"/>
    <w:rsid w:val="00372304"/>
    <w:rsid w:val="00453D75"/>
    <w:rsid w:val="0055676C"/>
    <w:rsid w:val="0071052A"/>
    <w:rsid w:val="0082461F"/>
    <w:rsid w:val="00864D5C"/>
    <w:rsid w:val="008C714F"/>
    <w:rsid w:val="00B77BE9"/>
    <w:rsid w:val="00CC36AA"/>
    <w:rsid w:val="00DB0AB1"/>
    <w:rsid w:val="00DC6D9A"/>
    <w:rsid w:val="00E534C5"/>
    <w:rsid w:val="00F21ABE"/>
    <w:rsid w:val="02C2653F"/>
    <w:rsid w:val="04365AD7"/>
    <w:rsid w:val="0FE419C1"/>
    <w:rsid w:val="151871CE"/>
    <w:rsid w:val="16122562"/>
    <w:rsid w:val="1A543434"/>
    <w:rsid w:val="1C981E1F"/>
    <w:rsid w:val="245B2147"/>
    <w:rsid w:val="2E9E100C"/>
    <w:rsid w:val="31F24E63"/>
    <w:rsid w:val="32182C88"/>
    <w:rsid w:val="32392233"/>
    <w:rsid w:val="3A767100"/>
    <w:rsid w:val="3FA62025"/>
    <w:rsid w:val="40A807E8"/>
    <w:rsid w:val="436641C8"/>
    <w:rsid w:val="51F244E4"/>
    <w:rsid w:val="52974E26"/>
    <w:rsid w:val="54E4075C"/>
    <w:rsid w:val="60CE0516"/>
    <w:rsid w:val="677160CB"/>
    <w:rsid w:val="7298582E"/>
    <w:rsid w:val="769552B4"/>
    <w:rsid w:val="76E25DBB"/>
    <w:rsid w:val="7A4572B3"/>
    <w:rsid w:val="7F11520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qFormat="1" w:unhideWhenUsed="0" w:uiPriority="0" w:semiHidden="0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ind w:leftChars="100" w:rightChars="100"/>
    </w:pPr>
    <w:rPr>
      <w:rFonts w:eastAsia="宋体"/>
      <w:sz w:val="21"/>
    </w:rPr>
  </w:style>
  <w:style w:type="paragraph" w:customStyle="1" w:styleId="3">
    <w:name w:val="默认"/>
    <w:qFormat/>
    <w:uiPriority w:val="0"/>
    <w:rPr>
      <w:rFonts w:ascii="Helvetica" w:hAnsi="Helvetica" w:eastAsia="Helvetica" w:cs="Helvetica"/>
      <w:color w:val="000000"/>
      <w:sz w:val="22"/>
      <w:szCs w:val="22"/>
      <w:lang w:val="en-US" w:eastAsia="zh-CN" w:bidi="ar-SA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Message Header"/>
    <w:basedOn w:val="1"/>
    <w:next w:val="2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  <w:szCs w:val="24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page number"/>
    <w:basedOn w:val="9"/>
    <w:qFormat/>
    <w:uiPriority w:val="99"/>
    <w:rPr>
      <w:rFonts w:cs="Times New Roman"/>
    </w:rPr>
  </w:style>
  <w:style w:type="character" w:customStyle="1" w:styleId="11">
    <w:name w:val="页脚 Char"/>
    <w:basedOn w:val="9"/>
    <w:link w:val="4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眉 Char"/>
    <w:basedOn w:val="9"/>
    <w:link w:val="5"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</Pages>
  <Words>13</Words>
  <Characters>78</Characters>
  <Lines>1</Lines>
  <Paragraphs>1</Paragraphs>
  <TotalTime>2</TotalTime>
  <ScaleCrop>false</ScaleCrop>
  <LinksUpToDate>false</LinksUpToDate>
  <CharactersWithSpaces>90</CharactersWithSpaces>
  <Application>WPS Office_11.1.0.10446_F1E327BC-269C-435d-A152-05C5408002CA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2018-03-06T01:51:00Z</dcterms:created>
  <dc:creator>万红梅[18908270629]</dc:creator>
  <cp:lastModifiedBy>Administrator</cp:lastModifiedBy>
  <cp:lastPrinted>2020-03-20T02:19:00Z</cp:lastPrinted>
  <dcterms:modified xsi:type="dcterms:W3CDTF">2021-04-02T06:24:13Z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2052-11.1.0.10446</vt:lpwstr>
  </property>
  <property fmtid="{D5CDD505-2E9C-101B-9397-08002B2CF9AE}" pid="3" name="KSOSaveFontToCloudKey">
    <vt:lpwstr>0_btnclosed</vt:lpwstr>
  </property>
  <property fmtid="{D5CDD505-2E9C-101B-9397-08002B2CF9AE}" pid="4" name="ICV">
    <vt:lpwstr>409825877F984912B71AC38068878A41</vt:lpwstr>
  </property>
</Properties>
</file>