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before="10" w:after="10" w:line="240" w:lineRule="auto"/>
        <w:jc w:val="center"/>
        <w:rPr>
          <w:rFonts w:ascii="Times New Roman" w:hAnsi="Times New Roman" w:eastAsia="方正小标宋_GBK" w:cs="Times New Roman"/>
          <w:b w:val="0"/>
          <w:bCs w:val="0"/>
        </w:rPr>
      </w:pPr>
      <w:bookmarkStart w:id="0" w:name="_Toc24724723"/>
      <w:bookmarkStart w:id="1" w:name="_Toc7993_WPSOffice_Level1"/>
      <w:bookmarkStart w:id="2" w:name="_GoBack"/>
      <w:r>
        <w:rPr>
          <w:rFonts w:ascii="Times New Roman" w:hAnsi="Times New Roman" w:eastAsia="方正小标宋_GBK" w:cs="Times New Roman"/>
          <w:b w:val="0"/>
          <w:bCs w:val="0"/>
        </w:rPr>
        <w:t>公共文化服务领域政务公开标准目录</w:t>
      </w:r>
      <w:bookmarkEnd w:id="0"/>
      <w:bookmarkEnd w:id="1"/>
    </w:p>
    <w:bookmarkEnd w:id="2"/>
    <w:tbl>
      <w:tblPr>
        <w:tblStyle w:val="8"/>
        <w:tblW w:w="15455" w:type="dxa"/>
        <w:tblInd w:w="-4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9"/>
        <w:gridCol w:w="395"/>
        <w:gridCol w:w="868"/>
        <w:gridCol w:w="1253"/>
        <w:gridCol w:w="1562"/>
        <w:gridCol w:w="3213"/>
        <w:gridCol w:w="1317"/>
        <w:gridCol w:w="717"/>
        <w:gridCol w:w="3075"/>
        <w:gridCol w:w="487"/>
        <w:gridCol w:w="507"/>
        <w:gridCol w:w="446"/>
        <w:gridCol w:w="457"/>
        <w:gridCol w:w="424"/>
        <w:gridCol w:w="40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tblHeader/>
        </w:trPr>
        <w:tc>
          <w:tcPr>
            <w:tcW w:w="32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黑体_GBK" w:cs="Times New Roman"/>
                <w:kern w:val="0"/>
                <w:sz w:val="18"/>
                <w:szCs w:val="18"/>
              </w:rPr>
              <w:t>序号</w:t>
            </w:r>
          </w:p>
        </w:tc>
        <w:tc>
          <w:tcPr>
            <w:tcW w:w="39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黑体_GBK" w:cs="Times New Roman"/>
                <w:kern w:val="0"/>
                <w:sz w:val="18"/>
                <w:szCs w:val="18"/>
              </w:rPr>
              <w:t>事项类型</w:t>
            </w:r>
          </w:p>
        </w:tc>
        <w:tc>
          <w:tcPr>
            <w:tcW w:w="212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黑体_GBK" w:cs="Times New Roman"/>
                <w:kern w:val="0"/>
                <w:sz w:val="18"/>
                <w:szCs w:val="18"/>
              </w:rPr>
              <w:t>公开事项</w:t>
            </w:r>
          </w:p>
        </w:tc>
        <w:tc>
          <w:tcPr>
            <w:tcW w:w="156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黑体_GBK" w:cs="Times New Roman"/>
                <w:kern w:val="0"/>
                <w:sz w:val="18"/>
                <w:szCs w:val="18"/>
              </w:rPr>
              <w:t>公开内容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黑体_GBK" w:cs="Times New Roman"/>
                <w:kern w:val="0"/>
                <w:sz w:val="18"/>
                <w:szCs w:val="18"/>
              </w:rPr>
              <w:t>（要素）</w:t>
            </w:r>
          </w:p>
        </w:tc>
        <w:tc>
          <w:tcPr>
            <w:tcW w:w="321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黑体_GBK" w:cs="Times New Roman"/>
                <w:kern w:val="0"/>
                <w:sz w:val="18"/>
                <w:szCs w:val="18"/>
              </w:rPr>
              <w:t>公开依据</w:t>
            </w:r>
          </w:p>
        </w:tc>
        <w:tc>
          <w:tcPr>
            <w:tcW w:w="131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黑体_GBK" w:cs="Times New Roman"/>
                <w:kern w:val="0"/>
                <w:sz w:val="18"/>
                <w:szCs w:val="18"/>
              </w:rPr>
              <w:t>公开时限</w:t>
            </w:r>
          </w:p>
        </w:tc>
        <w:tc>
          <w:tcPr>
            <w:tcW w:w="71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黑体_GBK" w:cs="Times New Roman"/>
                <w:kern w:val="0"/>
                <w:sz w:val="18"/>
                <w:szCs w:val="18"/>
              </w:rPr>
              <w:t>公开</w:t>
            </w:r>
            <w:r>
              <w:rPr>
                <w:rFonts w:hint="default" w:ascii="Times New Roman" w:hAnsi="Times New Roman" w:eastAsia="方正黑体_GBK" w:cs="Times New Roman"/>
                <w:kern w:val="0"/>
                <w:sz w:val="18"/>
                <w:szCs w:val="18"/>
              </w:rPr>
              <w:br w:type="textWrapping"/>
            </w:r>
            <w:r>
              <w:rPr>
                <w:rFonts w:hint="default" w:ascii="Times New Roman" w:hAnsi="Times New Roman" w:eastAsia="方正黑体_GBK" w:cs="Times New Roman"/>
                <w:kern w:val="0"/>
                <w:sz w:val="18"/>
                <w:szCs w:val="18"/>
              </w:rPr>
              <w:t>主体</w:t>
            </w:r>
          </w:p>
        </w:tc>
        <w:tc>
          <w:tcPr>
            <w:tcW w:w="30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黑体_GBK" w:cs="Times New Roman"/>
                <w:kern w:val="0"/>
                <w:sz w:val="18"/>
                <w:szCs w:val="18"/>
              </w:rPr>
              <w:t>公开渠道和载体</w:t>
            </w:r>
          </w:p>
        </w:tc>
        <w:tc>
          <w:tcPr>
            <w:tcW w:w="99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黑体_GBK" w:cs="Times New Roman"/>
                <w:kern w:val="0"/>
                <w:sz w:val="18"/>
                <w:szCs w:val="18"/>
              </w:rPr>
              <w:t>公开对象</w:t>
            </w:r>
          </w:p>
        </w:tc>
        <w:tc>
          <w:tcPr>
            <w:tcW w:w="9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黑体_GBK" w:cs="Times New Roman"/>
                <w:kern w:val="0"/>
                <w:sz w:val="18"/>
                <w:szCs w:val="18"/>
              </w:rPr>
              <w:t>公开方式</w:t>
            </w:r>
          </w:p>
        </w:tc>
        <w:tc>
          <w:tcPr>
            <w:tcW w:w="8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黑体_GBK" w:cs="Times New Roman"/>
                <w:kern w:val="0"/>
                <w:sz w:val="18"/>
                <w:szCs w:val="18"/>
              </w:rPr>
              <w:t>公开层级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  <w:tblHeader/>
        </w:trPr>
        <w:tc>
          <w:tcPr>
            <w:tcW w:w="3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default" w:ascii="Times New Roman" w:hAnsi="Times New Roman" w:eastAsia="方正黑体_GBK" w:cs="Times New Roman"/>
                <w:kern w:val="0"/>
                <w:sz w:val="18"/>
                <w:szCs w:val="18"/>
              </w:rPr>
            </w:pPr>
          </w:p>
        </w:tc>
        <w:tc>
          <w:tcPr>
            <w:tcW w:w="39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default" w:ascii="Times New Roman" w:hAnsi="Times New Roman" w:eastAsia="方正黑体_GBK" w:cs="Times New Roman"/>
                <w:kern w:val="0"/>
                <w:sz w:val="18"/>
                <w:szCs w:val="18"/>
              </w:rPr>
            </w:pPr>
          </w:p>
        </w:tc>
        <w:tc>
          <w:tcPr>
            <w:tcW w:w="8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黑体_GBK" w:cs="Times New Roman"/>
                <w:kern w:val="0"/>
                <w:sz w:val="18"/>
                <w:szCs w:val="18"/>
              </w:rPr>
              <w:t>一级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黑体_GBK" w:cs="Times New Roman"/>
                <w:kern w:val="0"/>
                <w:sz w:val="18"/>
                <w:szCs w:val="18"/>
              </w:rPr>
              <w:t>事项</w:t>
            </w: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黑体_GBK" w:cs="Times New Roman"/>
                <w:kern w:val="0"/>
                <w:sz w:val="18"/>
                <w:szCs w:val="18"/>
              </w:rPr>
              <w:t>二级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黑体_GBK" w:cs="Times New Roman"/>
                <w:kern w:val="0"/>
                <w:sz w:val="18"/>
                <w:szCs w:val="18"/>
              </w:rPr>
              <w:t>事项</w:t>
            </w:r>
          </w:p>
        </w:tc>
        <w:tc>
          <w:tcPr>
            <w:tcW w:w="15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default" w:ascii="Times New Roman" w:hAnsi="Times New Roman" w:eastAsia="方正黑体_GBK" w:cs="Times New Roman"/>
                <w:kern w:val="0"/>
                <w:sz w:val="18"/>
                <w:szCs w:val="18"/>
              </w:rPr>
            </w:pPr>
          </w:p>
        </w:tc>
        <w:tc>
          <w:tcPr>
            <w:tcW w:w="32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hint="default" w:ascii="Times New Roman" w:hAnsi="Times New Roman" w:eastAsia="方正黑体_GBK" w:cs="Times New Roman"/>
                <w:kern w:val="0"/>
                <w:sz w:val="18"/>
                <w:szCs w:val="18"/>
              </w:rPr>
            </w:pPr>
          </w:p>
        </w:tc>
        <w:tc>
          <w:tcPr>
            <w:tcW w:w="13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default" w:ascii="Times New Roman" w:hAnsi="Times New Roman" w:eastAsia="方正黑体_GBK" w:cs="Times New Roman"/>
                <w:kern w:val="0"/>
                <w:sz w:val="18"/>
                <w:szCs w:val="18"/>
              </w:rPr>
            </w:pPr>
          </w:p>
        </w:tc>
        <w:tc>
          <w:tcPr>
            <w:tcW w:w="7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default" w:ascii="Times New Roman" w:hAnsi="Times New Roman" w:eastAsia="方正黑体_GBK" w:cs="Times New Roman"/>
                <w:kern w:val="0"/>
                <w:sz w:val="18"/>
                <w:szCs w:val="18"/>
              </w:rPr>
            </w:pPr>
          </w:p>
        </w:tc>
        <w:tc>
          <w:tcPr>
            <w:tcW w:w="30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hint="default" w:ascii="Times New Roman" w:hAnsi="Times New Roman" w:eastAsia="方正黑体_GBK" w:cs="Times New Roman"/>
                <w:kern w:val="0"/>
                <w:sz w:val="18"/>
                <w:szCs w:val="18"/>
              </w:rPr>
            </w:pPr>
          </w:p>
        </w:tc>
        <w:tc>
          <w:tcPr>
            <w:tcW w:w="4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黑体_GBK" w:cs="Times New Roman"/>
                <w:kern w:val="0"/>
                <w:sz w:val="18"/>
                <w:szCs w:val="18"/>
              </w:rPr>
              <w:t>全社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黑体_GBK" w:cs="Times New Roman"/>
                <w:kern w:val="0"/>
                <w:sz w:val="18"/>
                <w:szCs w:val="18"/>
              </w:rPr>
              <w:t>会</w:t>
            </w:r>
          </w:p>
        </w:tc>
        <w:tc>
          <w:tcPr>
            <w:tcW w:w="5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黑体_GBK" w:cs="Times New Roman"/>
                <w:kern w:val="0"/>
                <w:sz w:val="18"/>
                <w:szCs w:val="18"/>
              </w:rPr>
              <w:t>特定群体</w:t>
            </w:r>
          </w:p>
        </w:tc>
        <w:tc>
          <w:tcPr>
            <w:tcW w:w="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黑体_GBK" w:cs="Times New Roman"/>
                <w:kern w:val="0"/>
                <w:sz w:val="18"/>
                <w:szCs w:val="18"/>
              </w:rPr>
              <w:t>主动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方正黑体_GBK" w:cs="Times New Roman"/>
                <w:kern w:val="0"/>
                <w:sz w:val="18"/>
                <w:szCs w:val="18"/>
                <w:lang w:eastAsia="zh-CN"/>
              </w:rPr>
              <w:t>公开</w:t>
            </w:r>
          </w:p>
        </w:tc>
        <w:tc>
          <w:tcPr>
            <w:tcW w:w="4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方正黑体_GBK" w:cs="Times New Roman"/>
                <w:kern w:val="0"/>
                <w:sz w:val="18"/>
                <w:szCs w:val="18"/>
              </w:rPr>
              <w:t>依申请</w:t>
            </w:r>
            <w:r>
              <w:rPr>
                <w:rFonts w:hint="default" w:ascii="Times New Roman" w:hAnsi="Times New Roman" w:eastAsia="方正黑体_GBK" w:cs="Times New Roman"/>
                <w:kern w:val="0"/>
                <w:sz w:val="18"/>
                <w:szCs w:val="18"/>
                <w:lang w:eastAsia="zh-CN"/>
              </w:rPr>
              <w:t>公开</w:t>
            </w:r>
          </w:p>
        </w:tc>
        <w:tc>
          <w:tcPr>
            <w:tcW w:w="4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方正黑体_GBK" w:cs="Times New Roman"/>
                <w:kern w:val="0"/>
                <w:sz w:val="18"/>
                <w:szCs w:val="18"/>
                <w:lang w:eastAsia="zh-CN"/>
              </w:rPr>
              <w:t>区级</w:t>
            </w:r>
          </w:p>
        </w:tc>
        <w:tc>
          <w:tcPr>
            <w:tcW w:w="4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黑体_GBK" w:cs="Times New Roman"/>
                <w:kern w:val="0"/>
                <w:sz w:val="18"/>
                <w:szCs w:val="18"/>
              </w:rPr>
              <w:t>乡</w:t>
            </w:r>
            <w:r>
              <w:rPr>
                <w:rFonts w:hint="default" w:ascii="Times New Roman" w:hAnsi="Times New Roman" w:eastAsia="方正黑体_GBK" w:cs="Times New Roman"/>
                <w:kern w:val="0"/>
                <w:sz w:val="18"/>
                <w:szCs w:val="18"/>
                <w:lang w:eastAsia="zh-CN"/>
              </w:rPr>
              <w:t>镇</w:t>
            </w:r>
            <w:r>
              <w:rPr>
                <w:rFonts w:hint="default" w:ascii="Times New Roman" w:hAnsi="Times New Roman" w:eastAsia="方正黑体_GBK" w:cs="Times New Roman"/>
                <w:kern w:val="0"/>
                <w:sz w:val="18"/>
                <w:szCs w:val="18"/>
              </w:rPr>
              <w:t>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4" w:hRule="atLeast"/>
        </w:trPr>
        <w:tc>
          <w:tcPr>
            <w:tcW w:w="3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39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18"/>
                <w:szCs w:val="18"/>
                <w:lang w:val="en-US" w:eastAsia="zh-CN"/>
              </w:rPr>
              <w:t>公共服务</w:t>
            </w:r>
          </w:p>
        </w:tc>
        <w:tc>
          <w:tcPr>
            <w:tcW w:w="212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主要文艺演出活动查询服务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剧目名称、演出时间、演出地点</w:t>
            </w:r>
          </w:p>
        </w:tc>
        <w:tc>
          <w:tcPr>
            <w:tcW w:w="32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1.《中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18"/>
                <w:szCs w:val="18"/>
                <w:lang w:eastAsia="zh-CN"/>
              </w:rPr>
              <w:t>华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人民共和国政府信息公开条例》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2.《中华人民共和国公共文化服务保障法》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信息形成或变更之日起20个工作日内公开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区文化和旅游委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■政府网站    □政府公报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□两微一端    □发布会/听证会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□广播电视    □纸质媒体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□公开查阅点  □政务服务中心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□便民服务站  □入户/现场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□社区/企事业单位/村公示栏（电子屏）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□精准推送    □其他</w:t>
            </w:r>
          </w:p>
        </w:tc>
        <w:tc>
          <w:tcPr>
            <w:tcW w:w="4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√</w:t>
            </w:r>
          </w:p>
        </w:tc>
        <w:tc>
          <w:tcPr>
            <w:tcW w:w="5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√</w:t>
            </w:r>
          </w:p>
        </w:tc>
        <w:tc>
          <w:tcPr>
            <w:tcW w:w="4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4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√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4" w:hRule="atLeast"/>
        </w:trPr>
        <w:tc>
          <w:tcPr>
            <w:tcW w:w="3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3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212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图书馆书刊借阅及互借互还服务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1.机构名称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2.开放时间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3.机构地址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4.联系电话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5.临时停止活动信息</w:t>
            </w:r>
          </w:p>
        </w:tc>
        <w:tc>
          <w:tcPr>
            <w:tcW w:w="32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1.《中华人民共和国政府信息公开条例》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2.《中华人民共和国公共图书馆法》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信息形成或变更之日起20个工作日内公开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区文化和旅游委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■政府网站    □政府公报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□两微一端    □发布会/听证会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□广播电视    □纸质媒体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□公开查阅点  □政务服务中心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□便民服务站  □入户/现场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□社区/企事业单位/村公示栏（电子屏）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□精准推送    □其他</w:t>
            </w:r>
          </w:p>
        </w:tc>
        <w:tc>
          <w:tcPr>
            <w:tcW w:w="4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√</w:t>
            </w:r>
          </w:p>
        </w:tc>
        <w:tc>
          <w:tcPr>
            <w:tcW w:w="5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√</w:t>
            </w:r>
          </w:p>
        </w:tc>
        <w:tc>
          <w:tcPr>
            <w:tcW w:w="4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4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√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4" w:hRule="atLeast"/>
        </w:trPr>
        <w:tc>
          <w:tcPr>
            <w:tcW w:w="3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3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212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公共文化场馆展览展示及讲座培训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1.活动时间；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2.活动单位；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3.活动地址；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4.联系电话；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5.临时停止活动信息</w:t>
            </w:r>
          </w:p>
        </w:tc>
        <w:tc>
          <w:tcPr>
            <w:tcW w:w="32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《中华人民共和国政府信息公开条例》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信息形成或变更之日起20个工作日内公开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区文化和旅游委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■政府网站    □政府公报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■两微一端    □发布会/听证会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□广播电视    □纸质媒体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□公开查阅点  □政务服务中心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□便民服务站  □入户/现场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□社区/企事业单位/村公示栏（电子屏）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□精准推送    □其他</w:t>
            </w:r>
          </w:p>
        </w:tc>
        <w:tc>
          <w:tcPr>
            <w:tcW w:w="4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√</w:t>
            </w:r>
          </w:p>
        </w:tc>
        <w:tc>
          <w:tcPr>
            <w:tcW w:w="5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√</w:t>
            </w:r>
          </w:p>
        </w:tc>
        <w:tc>
          <w:tcPr>
            <w:tcW w:w="4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4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√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5" w:hRule="atLeast"/>
        </w:trPr>
        <w:tc>
          <w:tcPr>
            <w:tcW w:w="3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3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212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文化艺术公益普及活动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1.活动时间；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2.活动单位；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3.活动地址；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4.联系电话；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5.临时停止活动信息</w:t>
            </w:r>
          </w:p>
        </w:tc>
        <w:tc>
          <w:tcPr>
            <w:tcW w:w="32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《中华人民共和国政府信息公开条例》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信息形成或变更之日起20个工作日内公开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区文化和旅游委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■政府网站    □政府公报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□两微一端    □发布会/听证会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□广播电视    □纸质媒体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□公开查阅点  □政务服务中心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□便民服务站  □入户/现场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□社区/企事业单位/村公示栏（电子屏）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□精准推送    □其他</w:t>
            </w:r>
          </w:p>
        </w:tc>
        <w:tc>
          <w:tcPr>
            <w:tcW w:w="4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√</w:t>
            </w:r>
          </w:p>
        </w:tc>
        <w:tc>
          <w:tcPr>
            <w:tcW w:w="5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√</w:t>
            </w:r>
          </w:p>
        </w:tc>
        <w:tc>
          <w:tcPr>
            <w:tcW w:w="4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4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√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√</w:t>
            </w:r>
          </w:p>
        </w:tc>
      </w:tr>
    </w:tbl>
    <w:p>
      <w:pPr>
        <w:rPr>
          <w:rFonts w:ascii="Times New Roman" w:hAnsi="Times New Roman" w:eastAsia="宋体" w:cs="Times New Roman"/>
        </w:rPr>
      </w:pPr>
    </w:p>
    <w:sectPr>
      <w:headerReference r:id="rId3" w:type="default"/>
      <w:footerReference r:id="rId4" w:type="default"/>
      <w:pgSz w:w="16838" w:h="11906" w:orient="landscape"/>
      <w:pgMar w:top="1134" w:right="1134" w:bottom="1134" w:left="1134" w:header="851" w:footer="992" w:gutter="0"/>
      <w:cols w:space="0" w:num="1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">
    <w:altName w:val="FreeSans"/>
    <w:panose1 w:val="020B0504020202030204"/>
    <w:charset w:val="00"/>
    <w:family w:val="swiss"/>
    <w:pitch w:val="default"/>
    <w:sig w:usb0="00000000" w:usb1="00000000" w:usb2="00000000" w:usb3="00000000" w:csb0="00000093" w:csb1="00000000"/>
  </w:font>
  <w:font w:name="Noto Sans Mono CJK JP Regular">
    <w:altName w:val="DejaVu Math TeX Gyre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等线">
    <w:altName w:val="汉仪中宋简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FreeSans">
    <w:panose1 w:val="020B0504020202020204"/>
    <w:charset w:val="00"/>
    <w:family w:val="auto"/>
    <w:pitch w:val="default"/>
    <w:sig w:usb0="E4839EFF" w:usb1="4600FDFF" w:usb2="000030A0" w:usb3="00000584" w:csb0="600001BF" w:csb1="DFF70000"/>
  </w:font>
  <w:font w:name="DejaVu Math TeX Gyre">
    <w:panose1 w:val="02000503000000000000"/>
    <w:charset w:val="00"/>
    <w:family w:val="auto"/>
    <w:pitch w:val="default"/>
    <w:sig w:usb0="A10000EF" w:usb1="4201F9EE" w:usb2="02000000" w:usb3="00000000" w:csb0="60000193" w:csb1="0DD4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67456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24765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5"/>
                            <w:ind w:left="210" w:leftChars="100" w:right="210" w:rightChars="100"/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1.95pt;height:144pt;width:144pt;mso-position-horizontal:outside;mso-position-horizontal-relative:margin;mso-wrap-style:none;z-index:251667456;mso-width-relative:page;mso-height-relative:page;" filled="f" stroked="f" coordsize="21600,21600" o:gfxdata="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FgAAAGRycy9Q&#10;SwECFAAUAAAACACHTuJAGJv7vNQAAAAGAQAADwAAAAAAAAABACAAAAA4AAAAZHJzL2Rvd25yZXYu&#10;eG1sUEsBAhQAFAAAAAgAh07iQDKHu5giAgAANwQAAA4AAAAAAAAAAQAgAAAAOQEAAGRycy9lMm9E&#10;b2MueG1sUEsFBgAAAAAGAAYAWQEAAM0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ind w:left="210" w:leftChars="100" w:right="210" w:rightChars="100"/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true"/>
  <w:bordersDoNotSurroundFooter w:val="true"/>
  <w:documentProtection w:enforcement="0"/>
  <w:defaultTabStop w:val="420"/>
  <w:drawingGridVerticalSpacing w:val="158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E77392"/>
    <w:rsid w:val="00303160"/>
    <w:rsid w:val="006D3C81"/>
    <w:rsid w:val="007541A5"/>
    <w:rsid w:val="00800177"/>
    <w:rsid w:val="00976F57"/>
    <w:rsid w:val="00AB0CB7"/>
    <w:rsid w:val="00E113DA"/>
    <w:rsid w:val="020767B8"/>
    <w:rsid w:val="03E809C2"/>
    <w:rsid w:val="053742F8"/>
    <w:rsid w:val="06DA37D1"/>
    <w:rsid w:val="06F0052A"/>
    <w:rsid w:val="083A4306"/>
    <w:rsid w:val="097266A2"/>
    <w:rsid w:val="0A9E5A6C"/>
    <w:rsid w:val="0AEE5200"/>
    <w:rsid w:val="0F390FB9"/>
    <w:rsid w:val="106C46C1"/>
    <w:rsid w:val="11EB4492"/>
    <w:rsid w:val="13221F92"/>
    <w:rsid w:val="138243DE"/>
    <w:rsid w:val="140C7290"/>
    <w:rsid w:val="140D49B0"/>
    <w:rsid w:val="16EC4CFE"/>
    <w:rsid w:val="17340B5B"/>
    <w:rsid w:val="17A62E16"/>
    <w:rsid w:val="188622CF"/>
    <w:rsid w:val="19BF1790"/>
    <w:rsid w:val="19C14A13"/>
    <w:rsid w:val="1BFB5968"/>
    <w:rsid w:val="1CEF0E4D"/>
    <w:rsid w:val="1D1204CA"/>
    <w:rsid w:val="1DCE0D9F"/>
    <w:rsid w:val="1E3A6952"/>
    <w:rsid w:val="1E567A46"/>
    <w:rsid w:val="1EC76208"/>
    <w:rsid w:val="22905CC1"/>
    <w:rsid w:val="22BF3543"/>
    <w:rsid w:val="23A8177D"/>
    <w:rsid w:val="24A3296B"/>
    <w:rsid w:val="28086B08"/>
    <w:rsid w:val="28EF64BB"/>
    <w:rsid w:val="29D71D48"/>
    <w:rsid w:val="2F505D57"/>
    <w:rsid w:val="3032109F"/>
    <w:rsid w:val="30F639D2"/>
    <w:rsid w:val="318B1096"/>
    <w:rsid w:val="32C43FF6"/>
    <w:rsid w:val="32C748E8"/>
    <w:rsid w:val="32E032B5"/>
    <w:rsid w:val="34740D8F"/>
    <w:rsid w:val="348C3D26"/>
    <w:rsid w:val="34B84027"/>
    <w:rsid w:val="35204CB8"/>
    <w:rsid w:val="36AF7C0B"/>
    <w:rsid w:val="38220BF6"/>
    <w:rsid w:val="3D843A12"/>
    <w:rsid w:val="3DBE6853"/>
    <w:rsid w:val="3FBA12C7"/>
    <w:rsid w:val="41127FD8"/>
    <w:rsid w:val="416A2105"/>
    <w:rsid w:val="4427650B"/>
    <w:rsid w:val="474F4CCA"/>
    <w:rsid w:val="47F114F2"/>
    <w:rsid w:val="480B4B68"/>
    <w:rsid w:val="4963168D"/>
    <w:rsid w:val="49C816C4"/>
    <w:rsid w:val="4A672825"/>
    <w:rsid w:val="4AC47B25"/>
    <w:rsid w:val="52354C1D"/>
    <w:rsid w:val="52F92564"/>
    <w:rsid w:val="536C3FF1"/>
    <w:rsid w:val="544A31CA"/>
    <w:rsid w:val="54B22F77"/>
    <w:rsid w:val="570F2D06"/>
    <w:rsid w:val="579555BC"/>
    <w:rsid w:val="58E653A2"/>
    <w:rsid w:val="5B100E77"/>
    <w:rsid w:val="5CB21547"/>
    <w:rsid w:val="5DBF40E0"/>
    <w:rsid w:val="616D6038"/>
    <w:rsid w:val="65A90373"/>
    <w:rsid w:val="65B93C51"/>
    <w:rsid w:val="67D2434B"/>
    <w:rsid w:val="6B1B7B0F"/>
    <w:rsid w:val="6C4D719D"/>
    <w:rsid w:val="6D5D508F"/>
    <w:rsid w:val="6D601B7B"/>
    <w:rsid w:val="6DBE38FF"/>
    <w:rsid w:val="6F0F52A0"/>
    <w:rsid w:val="6FA47997"/>
    <w:rsid w:val="707571EC"/>
    <w:rsid w:val="71B33385"/>
    <w:rsid w:val="71E77392"/>
    <w:rsid w:val="75D37155"/>
    <w:rsid w:val="76156136"/>
    <w:rsid w:val="77154073"/>
    <w:rsid w:val="77451E72"/>
    <w:rsid w:val="77585E04"/>
    <w:rsid w:val="77F10BA5"/>
    <w:rsid w:val="79AC7F4F"/>
    <w:rsid w:val="79C2760C"/>
    <w:rsid w:val="79F16FEA"/>
    <w:rsid w:val="7B1F0256"/>
    <w:rsid w:val="7BAD364C"/>
    <w:rsid w:val="7D2D0CC1"/>
    <w:rsid w:val="7D554062"/>
    <w:rsid w:val="7DAC230B"/>
    <w:rsid w:val="7FD76F59"/>
    <w:rsid w:val="7FEC2F11"/>
    <w:rsid w:val="7FF606C0"/>
    <w:rsid w:val="BFEDCDA2"/>
    <w:rsid w:val="EDFB227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99"/>
    <w:pPr>
      <w:ind w:left="100" w:leftChars="100" w:right="100" w:rightChars="100"/>
    </w:pPr>
    <w:rPr>
      <w:rFonts w:eastAsia="宋体" w:cs="Times New Roman"/>
    </w:rPr>
  </w:style>
  <w:style w:type="paragraph" w:customStyle="1" w:styleId="3">
    <w:name w:val="默认"/>
    <w:qFormat/>
    <w:uiPriority w:val="0"/>
    <w:rPr>
      <w:rFonts w:ascii="Helvetica" w:hAnsi="Helvetica" w:eastAsia="Helvetica" w:cs="Helvetica"/>
      <w:color w:val="000000"/>
      <w:sz w:val="22"/>
      <w:szCs w:val="22"/>
      <w:lang w:val="en-US" w:eastAsia="zh-CN" w:bidi="ar-SA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7">
    <w:name w:val="toc 1"/>
    <w:basedOn w:val="1"/>
    <w:next w:val="1"/>
    <w:semiHidden/>
    <w:qFormat/>
    <w:uiPriority w:val="0"/>
    <w:pPr>
      <w:tabs>
        <w:tab w:val="right" w:leader="dot" w:pos="14760"/>
      </w:tabs>
      <w:spacing w:line="700" w:lineRule="exact"/>
      <w:ind w:left="359" w:leftChars="171" w:right="332" w:rightChars="158"/>
    </w:p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page number"/>
    <w:basedOn w:val="10"/>
    <w:qFormat/>
    <w:uiPriority w:val="0"/>
  </w:style>
  <w:style w:type="character" w:styleId="12">
    <w:name w:val="FollowedHyperlink"/>
    <w:basedOn w:val="10"/>
    <w:qFormat/>
    <w:uiPriority w:val="0"/>
    <w:rPr>
      <w:color w:val="800080"/>
      <w:u w:val="single"/>
    </w:rPr>
  </w:style>
  <w:style w:type="character" w:styleId="13">
    <w:name w:val="Emphasis"/>
    <w:qFormat/>
    <w:uiPriority w:val="0"/>
    <w:rPr>
      <w:i/>
      <w:iCs/>
    </w:rPr>
  </w:style>
  <w:style w:type="character" w:styleId="14">
    <w:name w:val="Hyperlink"/>
    <w:basedOn w:val="10"/>
    <w:qFormat/>
    <w:uiPriority w:val="0"/>
    <w:rPr>
      <w:color w:val="0000FF"/>
      <w:u w:val="single"/>
    </w:rPr>
  </w:style>
  <w:style w:type="paragraph" w:customStyle="1" w:styleId="15">
    <w:name w:val="Char"/>
    <w:basedOn w:val="1"/>
    <w:semiHidden/>
    <w:qFormat/>
    <w:uiPriority w:val="0"/>
    <w:rPr>
      <w:rFonts w:eastAsia="宋体"/>
    </w:rPr>
  </w:style>
  <w:style w:type="paragraph" w:customStyle="1" w:styleId="16">
    <w:name w:val="WPSOffice手动目录 1"/>
    <w:qFormat/>
    <w:uiPriority w:val="0"/>
    <w:rPr>
      <w:rFonts w:ascii="Times New Roman" w:hAnsi="Times New Roman" w:eastAsia="宋体" w:cs="Times New Roman"/>
      <w:lang w:val="en-US" w:eastAsia="zh-CN" w:bidi="ar-SA"/>
    </w:rPr>
  </w:style>
  <w:style w:type="paragraph" w:customStyle="1" w:styleId="17">
    <w:name w:val="Table Paragraph"/>
    <w:basedOn w:val="1"/>
    <w:qFormat/>
    <w:uiPriority w:val="99"/>
    <w:pPr>
      <w:autoSpaceDE w:val="0"/>
      <w:autoSpaceDN w:val="0"/>
      <w:jc w:val="left"/>
    </w:pPr>
    <w:rPr>
      <w:rFonts w:ascii="Noto Sans Mono CJK JP Regular" w:hAnsi="Noto Sans Mono CJK JP Regular" w:eastAsia="等线" w:cs="Noto Sans Mono CJK JP Regular"/>
      <w:sz w:val="22"/>
      <w:szCs w:val="22"/>
      <w:lang w:eastAsia="en-US"/>
    </w:rPr>
  </w:style>
  <w:style w:type="character" w:customStyle="1" w:styleId="18">
    <w:name w:val="font11"/>
    <w:basedOn w:val="10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9">
    <w:name w:val="font31"/>
    <w:basedOn w:val="10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20">
    <w:name w:val="font71"/>
    <w:basedOn w:val="10"/>
    <w:qFormat/>
    <w:uiPriority w:val="0"/>
    <w:rPr>
      <w:rFonts w:ascii="方正仿宋_GBK" w:hAnsi="方正仿宋_GBK" w:eastAsia="方正仿宋_GBK" w:cs="方正仿宋_GBK"/>
      <w:color w:val="000000"/>
      <w:sz w:val="18"/>
      <w:szCs w:val="18"/>
      <w:u w:val="none"/>
    </w:rPr>
  </w:style>
  <w:style w:type="character" w:customStyle="1" w:styleId="21">
    <w:name w:val="font41"/>
    <w:basedOn w:val="10"/>
    <w:qFormat/>
    <w:uiPriority w:val="0"/>
    <w:rPr>
      <w:rFonts w:hint="default" w:ascii="Times New Roman" w:hAnsi="Times New Roman" w:cs="Times New Roman"/>
      <w:color w:val="000000"/>
      <w:sz w:val="18"/>
      <w:szCs w:val="18"/>
      <w:u w:val="none"/>
    </w:rPr>
  </w:style>
  <w:style w:type="character" w:customStyle="1" w:styleId="22">
    <w:name w:val="font81"/>
    <w:basedOn w:val="10"/>
    <w:qFormat/>
    <w:uiPriority w:val="0"/>
    <w:rPr>
      <w:rFonts w:hint="eastAsia" w:ascii="方正仿宋_GBK" w:hAnsi="方正仿宋_GBK" w:eastAsia="方正仿宋_GBK" w:cs="方正仿宋_GBK"/>
      <w:color w:val="000000"/>
      <w:sz w:val="18"/>
      <w:szCs w:val="18"/>
      <w:u w:val="none"/>
    </w:rPr>
  </w:style>
  <w:style w:type="character" w:customStyle="1" w:styleId="23">
    <w:name w:val="font91"/>
    <w:basedOn w:val="10"/>
    <w:qFormat/>
    <w:uiPriority w:val="0"/>
    <w:rPr>
      <w:rFonts w:hint="eastAsia" w:ascii="方正仿宋_GBK" w:hAnsi="方正仿宋_GBK" w:eastAsia="方正仿宋_GBK" w:cs="方正仿宋_GBK"/>
      <w:color w:val="000000"/>
      <w:sz w:val="18"/>
      <w:szCs w:val="18"/>
      <w:u w:val="none"/>
    </w:rPr>
  </w:style>
  <w:style w:type="character" w:customStyle="1" w:styleId="24">
    <w:name w:val="font51"/>
    <w:basedOn w:val="10"/>
    <w:qFormat/>
    <w:uiPriority w:val="0"/>
    <w:rPr>
      <w:rFonts w:hint="default" w:ascii="Times New Roman" w:hAnsi="Times New Roman" w:cs="Times New Roman"/>
      <w:color w:val="000000"/>
      <w:sz w:val="18"/>
      <w:szCs w:val="18"/>
      <w:u w:val="none"/>
    </w:rPr>
  </w:style>
  <w:style w:type="character" w:customStyle="1" w:styleId="25">
    <w:name w:val="font61"/>
    <w:basedOn w:val="10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26">
    <w:name w:val="font21"/>
    <w:basedOn w:val="10"/>
    <w:qFormat/>
    <w:uiPriority w:val="0"/>
    <w:rPr>
      <w:rFonts w:hint="eastAsia" w:ascii="宋体" w:hAnsi="宋体" w:eastAsia="宋体" w:cs="宋体"/>
      <w:color w:val="000000"/>
      <w:sz w:val="18"/>
      <w:szCs w:val="18"/>
      <w:u w:val="single"/>
    </w:rPr>
  </w:style>
  <w:style w:type="character" w:customStyle="1" w:styleId="27">
    <w:name w:val="font12"/>
    <w:basedOn w:val="10"/>
    <w:qFormat/>
    <w:uiPriority w:val="0"/>
    <w:rPr>
      <w:rFonts w:hint="eastAsia" w:ascii="宋体" w:hAnsi="宋体" w:eastAsia="宋体" w:cs="宋体"/>
      <w:color w:val="FF0000"/>
      <w:sz w:val="18"/>
      <w:szCs w:val="18"/>
      <w:u w:val="single"/>
    </w:rPr>
  </w:style>
  <w:style w:type="paragraph" w:customStyle="1" w:styleId="28">
    <w:name w:val="_Style 4"/>
    <w:basedOn w:val="1"/>
    <w:qFormat/>
    <w:uiPriority w:val="0"/>
    <w:pPr>
      <w:ind w:firstLine="420" w:firstLineChars="200"/>
    </w:pPr>
    <w:rPr>
      <w:rFonts w:ascii="等线" w:hAnsi="等线" w:eastAsia="等线" w:cs="Times New Roman"/>
      <w:sz w:val="32"/>
    </w:rPr>
  </w:style>
  <w:style w:type="paragraph" w:customStyle="1" w:styleId="29">
    <w:name w:val="_Style 2"/>
    <w:basedOn w:val="1"/>
    <w:qFormat/>
    <w:uiPriority w:val="0"/>
    <w:pPr>
      <w:ind w:firstLine="420" w:firstLineChars="200"/>
    </w:pPr>
    <w:rPr>
      <w:rFonts w:ascii="等线" w:hAnsi="等线" w:eastAsia="等线" w:cs="Times New Roman"/>
      <w:sz w:val="32"/>
    </w:rPr>
  </w:style>
  <w:style w:type="paragraph" w:customStyle="1" w:styleId="30">
    <w:name w:val="列出段落2"/>
    <w:basedOn w:val="1"/>
    <w:qFormat/>
    <w:uiPriority w:val="0"/>
    <w:pPr>
      <w:ind w:firstLine="420" w:firstLineChars="200"/>
    </w:pPr>
    <w:rPr>
      <w:rFonts w:ascii="等线" w:hAnsi="等线" w:eastAsia="等线" w:cs="Times New Roman"/>
      <w:sz w:val="32"/>
    </w:rPr>
  </w:style>
  <w:style w:type="character" w:customStyle="1" w:styleId="31">
    <w:name w:val="font121"/>
    <w:basedOn w:val="10"/>
    <w:qFormat/>
    <w:uiPriority w:val="0"/>
    <w:rPr>
      <w:rFonts w:hint="eastAsia" w:ascii="方正仿宋_GBK" w:hAnsi="方正仿宋_GBK" w:eastAsia="方正仿宋_GBK" w:cs="方正仿宋_GBK"/>
      <w:color w:val="000000"/>
      <w:sz w:val="24"/>
      <w:szCs w:val="24"/>
      <w:u w:val="single"/>
    </w:rPr>
  </w:style>
  <w:style w:type="character" w:customStyle="1" w:styleId="32">
    <w:name w:val="font101"/>
    <w:basedOn w:val="10"/>
    <w:qFormat/>
    <w:uiPriority w:val="0"/>
    <w:rPr>
      <w:rFonts w:hint="eastAsia" w:ascii="方正仿宋_GBK" w:hAnsi="方正仿宋_GBK" w:eastAsia="方正仿宋_GBK" w:cs="方正仿宋_GBK"/>
      <w:color w:val="000000"/>
      <w:sz w:val="24"/>
      <w:szCs w:val="24"/>
      <w:u w:val="single"/>
    </w:rPr>
  </w:style>
  <w:style w:type="character" w:customStyle="1" w:styleId="33">
    <w:name w:val="font01"/>
    <w:basedOn w:val="10"/>
    <w:qFormat/>
    <w:uiPriority w:val="0"/>
    <w:rPr>
      <w:rFonts w:hint="eastAsia" w:ascii="方正仿宋_GBK" w:hAnsi="方正仿宋_GBK" w:eastAsia="方正仿宋_GBK" w:cs="方正仿宋_GBK"/>
      <w:color w:val="000000"/>
      <w:sz w:val="24"/>
      <w:szCs w:val="24"/>
      <w:u w:val="single"/>
    </w:rPr>
  </w:style>
  <w:style w:type="character" w:customStyle="1" w:styleId="34">
    <w:name w:val="font112"/>
    <w:basedOn w:val="10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163</Words>
  <Characters>932</Characters>
  <Lines>7</Lines>
  <Paragraphs>2</Paragraphs>
  <TotalTime>1</TotalTime>
  <ScaleCrop>false</ScaleCrop>
  <LinksUpToDate>false</LinksUpToDate>
  <CharactersWithSpaces>1093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2020-10-28T06:24:00Z</dcterms:created>
  <dc:creator>邓芳®</dc:creator>
  <cp:lastModifiedBy>kylin</cp:lastModifiedBy>
  <cp:lastPrinted>2020-11-04T07:01:00Z</cp:lastPrinted>
  <dcterms:modified xsi:type="dcterms:W3CDTF">2024-01-03T16:08:27Z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KSOSaveFontToCloudKey">
    <vt:lpwstr>396155982_cloud</vt:lpwstr>
  </property>
</Properties>
</file>