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0" w:after="10" w:line="240" w:lineRule="auto"/>
        <w:jc w:val="center"/>
        <w:rPr>
          <w:rFonts w:ascii="Times New Roman" w:hAnsi="Times New Roman" w:eastAsia="方正小标宋_GBK" w:cs="Times New Roman"/>
          <w:b w:val="0"/>
          <w:bCs w:val="0"/>
        </w:rPr>
      </w:pPr>
      <w:bookmarkStart w:id="0" w:name="_Toc24043_WPSOffice_Level1"/>
      <w:bookmarkStart w:id="1" w:name="_Toc24724716"/>
      <w:bookmarkStart w:id="2" w:name="_GoBack"/>
      <w:r>
        <w:rPr>
          <w:rFonts w:ascii="Times New Roman" w:hAnsi="Times New Roman" w:eastAsia="方正小标宋_GBK" w:cs="Times New Roman"/>
          <w:b w:val="0"/>
          <w:bCs w:val="0"/>
        </w:rPr>
        <w:t>公共法律服务领域政务公开标准目录</w:t>
      </w:r>
      <w:bookmarkEnd w:id="0"/>
      <w:bookmarkEnd w:id="1"/>
    </w:p>
    <w:bookmarkEnd w:id="2"/>
    <w:tbl>
      <w:tblPr>
        <w:tblStyle w:val="8"/>
        <w:tblW w:w="150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
        <w:gridCol w:w="665"/>
        <w:gridCol w:w="1277"/>
        <w:gridCol w:w="1161"/>
        <w:gridCol w:w="2804"/>
        <w:gridCol w:w="861"/>
        <w:gridCol w:w="848"/>
        <w:gridCol w:w="3195"/>
        <w:gridCol w:w="666"/>
        <w:gridCol w:w="600"/>
        <w:gridCol w:w="587"/>
        <w:gridCol w:w="691"/>
        <w:gridCol w:w="678"/>
        <w:gridCol w:w="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407" w:type="dxa"/>
            <w:vMerge w:val="restart"/>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center"/>
              <w:textAlignment w:val="baseline"/>
              <w:rPr>
                <w:rFonts w:hint="default" w:ascii="Times New Roman" w:hAnsi="Times New Roman" w:eastAsia="方正黑体_GBK" w:cs="Times New Roman"/>
                <w:sz w:val="18"/>
                <w:szCs w:val="18"/>
                <w:lang w:eastAsia="zh-CN"/>
              </w:rPr>
            </w:pPr>
            <w:r>
              <w:rPr>
                <w:rFonts w:hint="default" w:ascii="Times New Roman" w:hAnsi="Times New Roman" w:eastAsia="方正黑体_GBK" w:cs="Times New Roman"/>
                <w:sz w:val="18"/>
                <w:szCs w:val="18"/>
                <w:lang w:eastAsia="zh-CN"/>
              </w:rPr>
              <w:t>序号</w:t>
            </w:r>
          </w:p>
        </w:tc>
        <w:tc>
          <w:tcPr>
            <w:tcW w:w="1942" w:type="dxa"/>
            <w:gridSpan w:val="2"/>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textAlignment w:val="baseline"/>
              <w:rPr>
                <w:rFonts w:hint="default" w:ascii="Times New Roman" w:hAnsi="Times New Roman" w:eastAsia="方正黑体_GBK" w:cs="Times New Roman"/>
                <w:sz w:val="18"/>
                <w:szCs w:val="18"/>
              </w:rPr>
            </w:pPr>
            <w:r>
              <w:rPr>
                <w:rFonts w:hint="default" w:ascii="Times New Roman" w:hAnsi="Times New Roman" w:eastAsia="方正黑体_GBK" w:cs="Times New Roman"/>
                <w:sz w:val="18"/>
                <w:szCs w:val="18"/>
              </w:rPr>
              <w:t>公开事项</w:t>
            </w:r>
          </w:p>
        </w:tc>
        <w:tc>
          <w:tcPr>
            <w:tcW w:w="1161" w:type="dxa"/>
            <w:vMerge w:val="restart"/>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textAlignment w:val="baseline"/>
              <w:rPr>
                <w:rFonts w:hint="default" w:ascii="Times New Roman" w:hAnsi="Times New Roman" w:eastAsia="方正黑体_GBK" w:cs="Times New Roman"/>
                <w:sz w:val="18"/>
                <w:szCs w:val="18"/>
              </w:rPr>
            </w:pPr>
            <w:r>
              <w:rPr>
                <w:rFonts w:hint="default" w:ascii="Times New Roman" w:hAnsi="Times New Roman" w:eastAsia="方正黑体_GBK" w:cs="Times New Roman"/>
                <w:sz w:val="18"/>
                <w:szCs w:val="18"/>
              </w:rPr>
              <w:t>公开内容</w:t>
            </w:r>
          </w:p>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textAlignment w:val="baseline"/>
              <w:rPr>
                <w:rFonts w:hint="default" w:ascii="Times New Roman" w:hAnsi="Times New Roman" w:eastAsia="方正黑体_GBK" w:cs="Times New Roman"/>
                <w:sz w:val="18"/>
                <w:szCs w:val="18"/>
              </w:rPr>
            </w:pPr>
            <w:r>
              <w:rPr>
                <w:rFonts w:hint="default" w:ascii="Times New Roman" w:hAnsi="Times New Roman" w:eastAsia="方正黑体_GBK" w:cs="Times New Roman"/>
                <w:sz w:val="18"/>
                <w:szCs w:val="18"/>
              </w:rPr>
              <w:t>（要素）</w:t>
            </w:r>
          </w:p>
        </w:tc>
        <w:tc>
          <w:tcPr>
            <w:tcW w:w="2804" w:type="dxa"/>
            <w:vMerge w:val="restart"/>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textAlignment w:val="baseline"/>
              <w:rPr>
                <w:rFonts w:hint="default" w:ascii="Times New Roman" w:hAnsi="Times New Roman" w:eastAsia="方正黑体_GBK" w:cs="Times New Roman"/>
                <w:sz w:val="18"/>
                <w:szCs w:val="18"/>
              </w:rPr>
            </w:pPr>
            <w:r>
              <w:rPr>
                <w:rFonts w:hint="default" w:ascii="Times New Roman" w:hAnsi="Times New Roman" w:eastAsia="方正黑体_GBK" w:cs="Times New Roman"/>
                <w:sz w:val="18"/>
                <w:szCs w:val="18"/>
              </w:rPr>
              <w:t>公开依据</w:t>
            </w:r>
          </w:p>
        </w:tc>
        <w:tc>
          <w:tcPr>
            <w:tcW w:w="861" w:type="dxa"/>
            <w:vMerge w:val="restart"/>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textAlignment w:val="baseline"/>
              <w:rPr>
                <w:rFonts w:hint="default" w:ascii="Times New Roman" w:hAnsi="Times New Roman" w:eastAsia="方正黑体_GBK" w:cs="Times New Roman"/>
                <w:sz w:val="18"/>
                <w:szCs w:val="18"/>
              </w:rPr>
            </w:pPr>
            <w:r>
              <w:rPr>
                <w:rFonts w:hint="default" w:ascii="Times New Roman" w:hAnsi="Times New Roman" w:eastAsia="方正黑体_GBK" w:cs="Times New Roman"/>
                <w:sz w:val="18"/>
                <w:szCs w:val="18"/>
              </w:rPr>
              <w:t>公开</w:t>
            </w:r>
          </w:p>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textAlignment w:val="baseline"/>
              <w:rPr>
                <w:rFonts w:hint="default" w:ascii="Times New Roman" w:hAnsi="Times New Roman" w:eastAsia="方正黑体_GBK" w:cs="Times New Roman"/>
                <w:sz w:val="18"/>
                <w:szCs w:val="18"/>
              </w:rPr>
            </w:pPr>
            <w:r>
              <w:rPr>
                <w:rFonts w:hint="default" w:ascii="Times New Roman" w:hAnsi="Times New Roman" w:eastAsia="方正黑体_GBK" w:cs="Times New Roman"/>
                <w:sz w:val="18"/>
                <w:szCs w:val="18"/>
              </w:rPr>
              <w:t>时限</w:t>
            </w:r>
          </w:p>
        </w:tc>
        <w:tc>
          <w:tcPr>
            <w:tcW w:w="848" w:type="dxa"/>
            <w:vMerge w:val="restart"/>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textAlignment w:val="baseline"/>
              <w:rPr>
                <w:rFonts w:hint="default" w:ascii="Times New Roman" w:hAnsi="Times New Roman" w:eastAsia="方正黑体_GBK" w:cs="Times New Roman"/>
                <w:sz w:val="18"/>
                <w:szCs w:val="18"/>
              </w:rPr>
            </w:pPr>
            <w:r>
              <w:rPr>
                <w:rFonts w:hint="default" w:ascii="Times New Roman" w:hAnsi="Times New Roman" w:eastAsia="方正黑体_GBK" w:cs="Times New Roman"/>
                <w:sz w:val="18"/>
                <w:szCs w:val="18"/>
              </w:rPr>
              <w:t>公开</w:t>
            </w:r>
          </w:p>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textAlignment w:val="baseline"/>
              <w:rPr>
                <w:rFonts w:hint="default" w:ascii="Times New Roman" w:hAnsi="Times New Roman" w:eastAsia="方正黑体_GBK" w:cs="Times New Roman"/>
                <w:sz w:val="18"/>
                <w:szCs w:val="18"/>
              </w:rPr>
            </w:pPr>
            <w:r>
              <w:rPr>
                <w:rFonts w:hint="default" w:ascii="Times New Roman" w:hAnsi="Times New Roman" w:eastAsia="方正黑体_GBK" w:cs="Times New Roman"/>
                <w:sz w:val="18"/>
                <w:szCs w:val="18"/>
              </w:rPr>
              <w:t>主体</w:t>
            </w:r>
          </w:p>
        </w:tc>
        <w:tc>
          <w:tcPr>
            <w:tcW w:w="3195" w:type="dxa"/>
            <w:vMerge w:val="restart"/>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textAlignment w:val="baseline"/>
              <w:rPr>
                <w:rFonts w:hint="default" w:ascii="Times New Roman" w:hAnsi="Times New Roman" w:eastAsia="方正黑体_GBK" w:cs="Times New Roman"/>
                <w:sz w:val="18"/>
                <w:szCs w:val="18"/>
              </w:rPr>
            </w:pPr>
            <w:r>
              <w:rPr>
                <w:rFonts w:hint="default" w:ascii="Times New Roman" w:hAnsi="Times New Roman" w:eastAsia="方正黑体_GBK" w:cs="Times New Roman"/>
                <w:sz w:val="18"/>
                <w:szCs w:val="18"/>
              </w:rPr>
              <w:t>公开渠道</w:t>
            </w:r>
          </w:p>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textAlignment w:val="baseline"/>
              <w:rPr>
                <w:rFonts w:hint="default" w:ascii="Times New Roman" w:hAnsi="Times New Roman" w:eastAsia="方正黑体_GBK" w:cs="Times New Roman"/>
                <w:sz w:val="18"/>
                <w:szCs w:val="18"/>
              </w:rPr>
            </w:pPr>
            <w:r>
              <w:rPr>
                <w:rFonts w:hint="default" w:ascii="Times New Roman" w:hAnsi="Times New Roman" w:eastAsia="方正黑体_GBK" w:cs="Times New Roman"/>
                <w:sz w:val="18"/>
                <w:szCs w:val="18"/>
              </w:rPr>
              <w:t>和载体</w:t>
            </w:r>
          </w:p>
        </w:tc>
        <w:tc>
          <w:tcPr>
            <w:tcW w:w="1266" w:type="dxa"/>
            <w:gridSpan w:val="2"/>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textAlignment w:val="baseline"/>
              <w:rPr>
                <w:rFonts w:hint="default" w:ascii="Times New Roman" w:hAnsi="Times New Roman" w:eastAsia="方正黑体_GBK" w:cs="Times New Roman"/>
                <w:sz w:val="18"/>
                <w:szCs w:val="18"/>
              </w:rPr>
            </w:pPr>
            <w:r>
              <w:rPr>
                <w:rFonts w:hint="default" w:ascii="Times New Roman" w:hAnsi="Times New Roman" w:eastAsia="方正黑体_GBK" w:cs="Times New Roman"/>
                <w:sz w:val="18"/>
                <w:szCs w:val="18"/>
              </w:rPr>
              <w:t>公开对象</w:t>
            </w:r>
          </w:p>
        </w:tc>
        <w:tc>
          <w:tcPr>
            <w:tcW w:w="1278" w:type="dxa"/>
            <w:gridSpan w:val="2"/>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textAlignment w:val="baseline"/>
              <w:rPr>
                <w:rFonts w:hint="default" w:ascii="Times New Roman" w:hAnsi="Times New Roman" w:eastAsia="方正黑体_GBK" w:cs="Times New Roman"/>
                <w:sz w:val="18"/>
                <w:szCs w:val="18"/>
              </w:rPr>
            </w:pPr>
            <w:r>
              <w:rPr>
                <w:rFonts w:hint="default" w:ascii="Times New Roman" w:hAnsi="Times New Roman" w:eastAsia="方正黑体_GBK" w:cs="Times New Roman"/>
                <w:sz w:val="18"/>
                <w:szCs w:val="18"/>
              </w:rPr>
              <w:t>公开方式</w:t>
            </w:r>
          </w:p>
        </w:tc>
        <w:tc>
          <w:tcPr>
            <w:tcW w:w="1322" w:type="dxa"/>
            <w:gridSpan w:val="2"/>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textAlignment w:val="baseline"/>
              <w:rPr>
                <w:rFonts w:hint="default" w:ascii="Times New Roman" w:hAnsi="Times New Roman" w:eastAsia="方正黑体_GBK" w:cs="Times New Roman"/>
                <w:sz w:val="18"/>
                <w:szCs w:val="18"/>
              </w:rPr>
            </w:pPr>
            <w:r>
              <w:rPr>
                <w:rFonts w:hint="default" w:ascii="Times New Roman" w:hAnsi="Times New Roman" w:eastAsia="方正黑体_GBK" w:cs="Times New Roman"/>
                <w:sz w:val="18"/>
                <w:szCs w:val="18"/>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blHeader/>
          <w:jc w:val="center"/>
        </w:trPr>
        <w:tc>
          <w:tcPr>
            <w:tcW w:w="407" w:type="dxa"/>
            <w:vMerge w:val="continue"/>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both"/>
              <w:rPr>
                <w:rFonts w:hint="default" w:ascii="Times New Roman" w:hAnsi="Times New Roman" w:eastAsia="方正黑体_GBK" w:cs="Times New Roman"/>
                <w:sz w:val="18"/>
                <w:szCs w:val="18"/>
              </w:rPr>
            </w:pPr>
          </w:p>
        </w:tc>
        <w:tc>
          <w:tcPr>
            <w:tcW w:w="665"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rPr>
                <w:rFonts w:hint="default" w:ascii="Times New Roman" w:hAnsi="Times New Roman" w:eastAsia="方正黑体_GBK" w:cs="Times New Roman"/>
                <w:sz w:val="18"/>
                <w:szCs w:val="18"/>
              </w:rPr>
            </w:pPr>
            <w:r>
              <w:rPr>
                <w:rFonts w:hint="default" w:ascii="Times New Roman" w:hAnsi="Times New Roman" w:eastAsia="方正黑体_GBK" w:cs="Times New Roman"/>
                <w:sz w:val="18"/>
                <w:szCs w:val="18"/>
              </w:rPr>
              <w:t>一级</w:t>
            </w:r>
          </w:p>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rPr>
                <w:rFonts w:hint="default" w:ascii="Times New Roman" w:hAnsi="Times New Roman" w:eastAsia="方正黑体_GBK" w:cs="Times New Roman"/>
                <w:sz w:val="18"/>
                <w:szCs w:val="18"/>
              </w:rPr>
            </w:pPr>
            <w:r>
              <w:rPr>
                <w:rFonts w:hint="default" w:ascii="Times New Roman" w:hAnsi="Times New Roman" w:eastAsia="方正黑体_GBK" w:cs="Times New Roman"/>
                <w:sz w:val="18"/>
                <w:szCs w:val="18"/>
              </w:rPr>
              <w:t>事项</w:t>
            </w:r>
          </w:p>
        </w:tc>
        <w:tc>
          <w:tcPr>
            <w:tcW w:w="1277"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rPr>
                <w:rFonts w:hint="default" w:ascii="Times New Roman" w:hAnsi="Times New Roman" w:eastAsia="方正黑体_GBK" w:cs="Times New Roman"/>
                <w:sz w:val="18"/>
                <w:szCs w:val="18"/>
              </w:rPr>
            </w:pPr>
            <w:r>
              <w:rPr>
                <w:rFonts w:hint="default" w:ascii="Times New Roman" w:hAnsi="Times New Roman" w:eastAsia="方正黑体_GBK" w:cs="Times New Roman"/>
                <w:sz w:val="18"/>
                <w:szCs w:val="18"/>
              </w:rPr>
              <w:t>二级</w:t>
            </w:r>
          </w:p>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rPr>
                <w:rFonts w:hint="default" w:ascii="Times New Roman" w:hAnsi="Times New Roman" w:eastAsia="方正黑体_GBK" w:cs="Times New Roman"/>
                <w:sz w:val="18"/>
                <w:szCs w:val="18"/>
              </w:rPr>
            </w:pPr>
            <w:r>
              <w:rPr>
                <w:rFonts w:hint="default" w:ascii="Times New Roman" w:hAnsi="Times New Roman" w:eastAsia="方正黑体_GBK" w:cs="Times New Roman"/>
                <w:sz w:val="18"/>
                <w:szCs w:val="18"/>
              </w:rPr>
              <w:t>事项</w:t>
            </w:r>
          </w:p>
        </w:tc>
        <w:tc>
          <w:tcPr>
            <w:tcW w:w="1161" w:type="dxa"/>
            <w:vMerge w:val="continue"/>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rPr>
                <w:rFonts w:hint="default" w:ascii="Times New Roman" w:hAnsi="Times New Roman" w:eastAsia="方正黑体_GBK" w:cs="Times New Roman"/>
                <w:sz w:val="18"/>
                <w:szCs w:val="18"/>
              </w:rPr>
            </w:pPr>
          </w:p>
        </w:tc>
        <w:tc>
          <w:tcPr>
            <w:tcW w:w="2804" w:type="dxa"/>
            <w:vMerge w:val="continue"/>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rPr>
                <w:rFonts w:hint="default" w:ascii="Times New Roman" w:hAnsi="Times New Roman" w:eastAsia="方正黑体_GBK" w:cs="Times New Roman"/>
                <w:sz w:val="18"/>
                <w:szCs w:val="18"/>
              </w:rPr>
            </w:pPr>
          </w:p>
        </w:tc>
        <w:tc>
          <w:tcPr>
            <w:tcW w:w="861" w:type="dxa"/>
            <w:vMerge w:val="continue"/>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rPr>
                <w:rFonts w:hint="default" w:ascii="Times New Roman" w:hAnsi="Times New Roman" w:eastAsia="方正黑体_GBK" w:cs="Times New Roman"/>
                <w:sz w:val="18"/>
                <w:szCs w:val="18"/>
              </w:rPr>
            </w:pPr>
          </w:p>
        </w:tc>
        <w:tc>
          <w:tcPr>
            <w:tcW w:w="848" w:type="dxa"/>
            <w:vMerge w:val="continue"/>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rPr>
                <w:rFonts w:hint="default" w:ascii="Times New Roman" w:hAnsi="Times New Roman" w:eastAsia="方正黑体_GBK" w:cs="Times New Roman"/>
                <w:sz w:val="18"/>
                <w:szCs w:val="18"/>
              </w:rPr>
            </w:pPr>
          </w:p>
        </w:tc>
        <w:tc>
          <w:tcPr>
            <w:tcW w:w="3195" w:type="dxa"/>
            <w:vMerge w:val="continue"/>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rPr>
                <w:rFonts w:hint="default" w:ascii="Times New Roman" w:hAnsi="Times New Roman" w:eastAsia="方正黑体_GBK" w:cs="Times New Roman"/>
                <w:sz w:val="18"/>
                <w:szCs w:val="18"/>
              </w:rPr>
            </w:pPr>
          </w:p>
        </w:tc>
        <w:tc>
          <w:tcPr>
            <w:tcW w:w="666"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rPr>
                <w:rFonts w:hint="default" w:ascii="Times New Roman" w:hAnsi="Times New Roman" w:eastAsia="方正黑体_GBK" w:cs="Times New Roman"/>
                <w:sz w:val="18"/>
                <w:szCs w:val="18"/>
              </w:rPr>
            </w:pPr>
            <w:r>
              <w:rPr>
                <w:rFonts w:hint="default" w:ascii="Times New Roman" w:hAnsi="Times New Roman" w:eastAsia="方正黑体_GBK" w:cs="Times New Roman"/>
                <w:sz w:val="18"/>
                <w:szCs w:val="18"/>
              </w:rPr>
              <w:t>全</w:t>
            </w:r>
          </w:p>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rPr>
                <w:rFonts w:hint="default" w:ascii="Times New Roman" w:hAnsi="Times New Roman" w:eastAsia="方正黑体_GBK" w:cs="Times New Roman"/>
                <w:sz w:val="18"/>
                <w:szCs w:val="18"/>
              </w:rPr>
            </w:pPr>
            <w:r>
              <w:rPr>
                <w:rFonts w:hint="default" w:ascii="Times New Roman" w:hAnsi="Times New Roman" w:eastAsia="方正黑体_GBK" w:cs="Times New Roman"/>
                <w:sz w:val="18"/>
                <w:szCs w:val="18"/>
              </w:rPr>
              <w:t>社会</w:t>
            </w:r>
          </w:p>
        </w:tc>
        <w:tc>
          <w:tcPr>
            <w:tcW w:w="600"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rPr>
                <w:rFonts w:hint="default" w:ascii="Times New Roman" w:hAnsi="Times New Roman" w:eastAsia="方正黑体_GBK" w:cs="Times New Roman"/>
                <w:sz w:val="18"/>
                <w:szCs w:val="18"/>
              </w:rPr>
            </w:pPr>
            <w:r>
              <w:rPr>
                <w:rFonts w:hint="default" w:ascii="Times New Roman" w:hAnsi="Times New Roman" w:eastAsia="方正黑体_GBK" w:cs="Times New Roman"/>
                <w:sz w:val="18"/>
                <w:szCs w:val="18"/>
              </w:rPr>
              <w:t>特定</w:t>
            </w:r>
          </w:p>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rPr>
                <w:rFonts w:hint="default" w:ascii="Times New Roman" w:hAnsi="Times New Roman" w:eastAsia="方正黑体_GBK" w:cs="Times New Roman"/>
                <w:sz w:val="18"/>
                <w:szCs w:val="18"/>
              </w:rPr>
            </w:pPr>
            <w:r>
              <w:rPr>
                <w:rFonts w:hint="default" w:ascii="Times New Roman" w:hAnsi="Times New Roman" w:eastAsia="方正黑体_GBK" w:cs="Times New Roman"/>
                <w:sz w:val="18"/>
                <w:szCs w:val="18"/>
              </w:rPr>
              <w:t>群体</w:t>
            </w:r>
          </w:p>
        </w:tc>
        <w:tc>
          <w:tcPr>
            <w:tcW w:w="587"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textAlignment w:val="baseline"/>
              <w:rPr>
                <w:rFonts w:hint="default" w:ascii="Times New Roman" w:hAnsi="Times New Roman" w:eastAsia="方正黑体_GBK" w:cs="Times New Roman"/>
                <w:sz w:val="18"/>
                <w:szCs w:val="18"/>
              </w:rPr>
            </w:pPr>
            <w:r>
              <w:rPr>
                <w:rFonts w:hint="default" w:ascii="Times New Roman" w:hAnsi="Times New Roman" w:eastAsia="方正黑体_GBK" w:cs="Times New Roman"/>
                <w:sz w:val="18"/>
                <w:szCs w:val="18"/>
              </w:rPr>
              <w:t>主动</w:t>
            </w:r>
          </w:p>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textAlignment w:val="baseline"/>
              <w:rPr>
                <w:rFonts w:hint="default" w:ascii="Times New Roman" w:hAnsi="Times New Roman" w:eastAsia="方正黑体_GBK" w:cs="Times New Roman"/>
                <w:sz w:val="18"/>
                <w:szCs w:val="18"/>
              </w:rPr>
            </w:pPr>
            <w:r>
              <w:rPr>
                <w:rFonts w:hint="default" w:ascii="Times New Roman" w:hAnsi="Times New Roman" w:eastAsia="方正黑体_GBK" w:cs="Times New Roman"/>
                <w:sz w:val="18"/>
                <w:szCs w:val="18"/>
              </w:rPr>
              <w:t>公开</w:t>
            </w:r>
          </w:p>
        </w:tc>
        <w:tc>
          <w:tcPr>
            <w:tcW w:w="691"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textAlignment w:val="baseline"/>
              <w:rPr>
                <w:rFonts w:hint="default" w:ascii="Times New Roman" w:hAnsi="Times New Roman" w:eastAsia="方正黑体_GBK" w:cs="Times New Roman"/>
                <w:sz w:val="18"/>
                <w:szCs w:val="18"/>
              </w:rPr>
            </w:pPr>
            <w:r>
              <w:rPr>
                <w:rFonts w:hint="default" w:ascii="Times New Roman" w:hAnsi="Times New Roman" w:eastAsia="方正黑体_GBK" w:cs="Times New Roman"/>
                <w:sz w:val="18"/>
                <w:szCs w:val="18"/>
              </w:rPr>
              <w:t>依申</w:t>
            </w:r>
          </w:p>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textAlignment w:val="baseline"/>
              <w:rPr>
                <w:rFonts w:hint="default" w:ascii="Times New Roman" w:hAnsi="Times New Roman" w:eastAsia="方正黑体_GBK" w:cs="Times New Roman"/>
                <w:sz w:val="18"/>
                <w:szCs w:val="18"/>
              </w:rPr>
            </w:pPr>
            <w:r>
              <w:rPr>
                <w:rFonts w:hint="default" w:ascii="Times New Roman" w:hAnsi="Times New Roman" w:eastAsia="方正黑体_GBK" w:cs="Times New Roman"/>
                <w:sz w:val="18"/>
                <w:szCs w:val="18"/>
              </w:rPr>
              <w:t>请公开</w:t>
            </w:r>
          </w:p>
        </w:tc>
        <w:tc>
          <w:tcPr>
            <w:tcW w:w="678"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textAlignment w:val="baseline"/>
              <w:rPr>
                <w:rFonts w:hint="default" w:ascii="Times New Roman" w:hAnsi="Times New Roman" w:eastAsia="方正黑体_GBK" w:cs="Times New Roman"/>
                <w:sz w:val="18"/>
                <w:szCs w:val="18"/>
              </w:rPr>
            </w:pPr>
            <w:r>
              <w:rPr>
                <w:rFonts w:hint="default" w:ascii="Times New Roman" w:hAnsi="Times New Roman" w:eastAsia="方正黑体_GBK" w:cs="Times New Roman"/>
                <w:sz w:val="18"/>
                <w:szCs w:val="18"/>
                <w:lang w:eastAsia="zh-CN"/>
              </w:rPr>
              <w:t>区</w:t>
            </w:r>
            <w:r>
              <w:rPr>
                <w:rFonts w:hint="default" w:ascii="Times New Roman" w:hAnsi="Times New Roman" w:eastAsia="方正黑体_GBK" w:cs="Times New Roman"/>
                <w:sz w:val="18"/>
                <w:szCs w:val="18"/>
              </w:rPr>
              <w:t>级</w:t>
            </w:r>
          </w:p>
        </w:tc>
        <w:tc>
          <w:tcPr>
            <w:tcW w:w="644"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textAlignment w:val="baseline"/>
              <w:rPr>
                <w:rFonts w:hint="default" w:ascii="Times New Roman" w:hAnsi="Times New Roman" w:eastAsia="方正黑体_GBK" w:cs="Times New Roman"/>
                <w:sz w:val="18"/>
                <w:szCs w:val="18"/>
                <w:lang w:eastAsia="zh-CN"/>
              </w:rPr>
            </w:pPr>
            <w:r>
              <w:rPr>
                <w:rFonts w:hint="default" w:ascii="Times New Roman" w:hAnsi="Times New Roman" w:eastAsia="方正黑体_GBK" w:cs="Times New Roman"/>
                <w:sz w:val="18"/>
                <w:szCs w:val="18"/>
              </w:rPr>
              <w:t>乡</w:t>
            </w:r>
            <w:r>
              <w:rPr>
                <w:rFonts w:hint="default" w:ascii="Times New Roman" w:hAnsi="Times New Roman" w:eastAsia="方正黑体_GBK" w:cs="Times New Roman"/>
                <w:sz w:val="18"/>
                <w:szCs w:val="18"/>
                <w:lang w:eastAsia="zh-CN"/>
              </w:rPr>
              <w:t>镇</w:t>
            </w:r>
          </w:p>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textAlignment w:val="baseline"/>
              <w:rPr>
                <w:rFonts w:hint="default" w:ascii="Times New Roman" w:hAnsi="Times New Roman" w:eastAsia="方正黑体_GBK" w:cs="Times New Roman"/>
                <w:sz w:val="18"/>
                <w:szCs w:val="18"/>
              </w:rPr>
            </w:pPr>
            <w:r>
              <w:rPr>
                <w:rFonts w:hint="default" w:ascii="Times New Roman" w:hAnsi="Times New Roman" w:eastAsia="方正黑体_GBK" w:cs="Times New Roman"/>
                <w:sz w:val="18"/>
                <w:szCs w:val="18"/>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407"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textAlignment w:val="auto"/>
              <w:rPr>
                <w:rFonts w:hint="default" w:ascii="Times New Roman" w:hAnsi="Times New Roman" w:eastAsia="方正仿宋_GBK" w:cs="Times New Roman"/>
                <w:sz w:val="18"/>
                <w:szCs w:val="18"/>
                <w:lang w:val="en-US" w:eastAsia="zh-CN"/>
              </w:rPr>
            </w:pPr>
            <w:r>
              <w:rPr>
                <w:rFonts w:hint="eastAsia" w:ascii="Times New Roman" w:hAnsi="Times New Roman" w:eastAsia="方正仿宋_GBK" w:cs="Times New Roman"/>
                <w:sz w:val="18"/>
                <w:szCs w:val="18"/>
                <w:lang w:val="en-US" w:eastAsia="zh-CN"/>
              </w:rPr>
              <w:t>1</w:t>
            </w:r>
          </w:p>
        </w:tc>
        <w:tc>
          <w:tcPr>
            <w:tcW w:w="665"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textAlignment w:val="auto"/>
              <w:rPr>
                <w:rFonts w:hint="default" w:ascii="Times New Roman" w:hAnsi="Times New Roman" w:eastAsia="方正仿宋_GBK" w:cs="Times New Roman"/>
                <w:sz w:val="18"/>
                <w:szCs w:val="18"/>
                <w:lang w:val="en-US" w:eastAsia="zh-CN"/>
              </w:rPr>
            </w:pPr>
            <w:r>
              <w:rPr>
                <w:rFonts w:hint="eastAsia" w:ascii="Times New Roman" w:hAnsi="Times New Roman" w:eastAsia="方正仿宋_GBK" w:cs="Times New Roman"/>
                <w:sz w:val="18"/>
                <w:szCs w:val="18"/>
                <w:lang w:val="en-US" w:eastAsia="zh-CN"/>
              </w:rPr>
              <w:t>行政给付</w:t>
            </w:r>
          </w:p>
        </w:tc>
        <w:tc>
          <w:tcPr>
            <w:tcW w:w="1277"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kern w:val="0"/>
                <w:sz w:val="18"/>
                <w:szCs w:val="18"/>
                <w:lang w:bidi="ar"/>
              </w:rPr>
              <w:t>人民调解员补贴发放</w:t>
            </w:r>
          </w:p>
        </w:tc>
        <w:tc>
          <w:tcPr>
            <w:tcW w:w="1161"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kern w:val="0"/>
                <w:sz w:val="18"/>
                <w:szCs w:val="18"/>
                <w:lang w:bidi="ar"/>
              </w:rPr>
              <w:t>依据、条件、程序以及发放情况</w:t>
            </w:r>
          </w:p>
        </w:tc>
        <w:tc>
          <w:tcPr>
            <w:tcW w:w="2804" w:type="dxa"/>
            <w:noWrap w:val="0"/>
            <w:vAlign w:val="center"/>
          </w:tcPr>
          <w:p>
            <w:pPr>
              <w:keepNext w:val="0"/>
              <w:keepLines w:val="0"/>
              <w:pageBreakBefore w:val="0"/>
              <w:widowControl/>
              <w:numPr>
                <w:ilvl w:val="0"/>
                <w:numId w:val="0"/>
              </w:numPr>
              <w:kinsoku/>
              <w:wordWrap/>
              <w:topLinePunct w:val="0"/>
              <w:autoSpaceDE/>
              <w:autoSpaceDN/>
              <w:bidi w:val="0"/>
              <w:adjustRightInd/>
              <w:spacing w:line="200" w:lineRule="exact"/>
              <w:textAlignment w:val="center"/>
              <w:rPr>
                <w:rFonts w:hint="default" w:ascii="Times New Roman" w:hAnsi="Times New Roman" w:eastAsia="方正仿宋_GBK" w:cs="Times New Roman"/>
                <w:kern w:val="0"/>
                <w:sz w:val="18"/>
                <w:szCs w:val="18"/>
                <w:lang w:bidi="ar"/>
              </w:rPr>
            </w:pPr>
            <w:r>
              <w:rPr>
                <w:rFonts w:hint="default" w:ascii="Times New Roman" w:hAnsi="Times New Roman" w:eastAsia="方正仿宋_GBK" w:cs="Times New Roman"/>
                <w:kern w:val="0"/>
                <w:sz w:val="18"/>
                <w:szCs w:val="18"/>
                <w:lang w:val="en-US" w:eastAsia="zh-CN" w:bidi="ar"/>
              </w:rPr>
              <w:t>1.</w:t>
            </w:r>
            <w:r>
              <w:rPr>
                <w:rFonts w:hint="default" w:ascii="Times New Roman" w:hAnsi="Times New Roman" w:eastAsia="方正仿宋_GBK" w:cs="Times New Roman"/>
                <w:kern w:val="0"/>
                <w:sz w:val="18"/>
                <w:szCs w:val="18"/>
                <w:lang w:bidi="ar"/>
              </w:rPr>
              <w:t>《中华人民共和国人民调解法》</w:t>
            </w:r>
          </w:p>
          <w:p>
            <w:pPr>
              <w:keepNext w:val="0"/>
              <w:keepLines w:val="0"/>
              <w:pageBreakBefore w:val="0"/>
              <w:widowControl/>
              <w:numPr>
                <w:ilvl w:val="0"/>
                <w:numId w:val="0"/>
              </w:numPr>
              <w:kinsoku/>
              <w:wordWrap/>
              <w:topLinePunct w:val="0"/>
              <w:autoSpaceDE/>
              <w:autoSpaceDN/>
              <w:bidi w:val="0"/>
              <w:adjustRightInd/>
              <w:spacing w:line="200" w:lineRule="exact"/>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kern w:val="0"/>
                <w:sz w:val="18"/>
                <w:szCs w:val="18"/>
                <w:lang w:val="en-US" w:eastAsia="zh-CN" w:bidi="ar"/>
              </w:rPr>
              <w:t>2.</w:t>
            </w:r>
            <w:r>
              <w:rPr>
                <w:rFonts w:hint="default" w:ascii="Times New Roman" w:hAnsi="Times New Roman" w:eastAsia="方正仿宋_GBK" w:cs="Times New Roman"/>
                <w:kern w:val="0"/>
                <w:sz w:val="18"/>
                <w:szCs w:val="18"/>
                <w:lang w:bidi="ar"/>
              </w:rPr>
              <w:t>《中华人民共和国政府信息公开条例》</w:t>
            </w:r>
          </w:p>
        </w:tc>
        <w:tc>
          <w:tcPr>
            <w:tcW w:w="861"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kern w:val="0"/>
                <w:sz w:val="18"/>
                <w:szCs w:val="18"/>
                <w:lang w:bidi="ar"/>
              </w:rPr>
              <w:t>制作或获取信息之日起20</w:t>
            </w:r>
            <w:r>
              <w:rPr>
                <w:rFonts w:hint="default" w:ascii="Times New Roman" w:hAnsi="Times New Roman" w:eastAsia="方正仿宋_GBK" w:cs="Times New Roman"/>
                <w:w w:val="95"/>
                <w:kern w:val="0"/>
                <w:sz w:val="18"/>
                <w:szCs w:val="18"/>
                <w:lang w:bidi="ar"/>
              </w:rPr>
              <w:t>个工作日内</w:t>
            </w:r>
          </w:p>
        </w:tc>
        <w:tc>
          <w:tcPr>
            <w:tcW w:w="848"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kern w:val="0"/>
                <w:sz w:val="18"/>
                <w:szCs w:val="18"/>
                <w:lang w:bidi="ar"/>
              </w:rPr>
              <w:t>区司法局、</w:t>
            </w:r>
            <w:r>
              <w:rPr>
                <w:rFonts w:hint="eastAsia" w:ascii="Times New Roman" w:hAnsi="Times New Roman" w:eastAsia="方正仿宋_GBK" w:cs="Times New Roman"/>
                <w:kern w:val="0"/>
                <w:sz w:val="18"/>
                <w:szCs w:val="18"/>
                <w:lang w:val="en-US" w:eastAsia="zh-CN" w:bidi="ar"/>
              </w:rPr>
              <w:t>金洞乡人民政府</w:t>
            </w:r>
          </w:p>
        </w:tc>
        <w:tc>
          <w:tcPr>
            <w:tcW w:w="3195" w:type="dxa"/>
            <w:noWrap w:val="0"/>
            <w:vAlign w:val="center"/>
          </w:tcPr>
          <w:p>
            <w:pPr>
              <w:keepNext w:val="0"/>
              <w:keepLines w:val="0"/>
              <w:pageBreakBefore w:val="0"/>
              <w:widowControl w:val="0"/>
              <w:kinsoku/>
              <w:wordWrap/>
              <w:overflowPunct w:val="0"/>
              <w:topLinePunct w:val="0"/>
              <w:autoSpaceDE/>
              <w:autoSpaceDN/>
              <w:bidi w:val="0"/>
              <w:adjustRightInd/>
              <w:snapToGrid w:val="0"/>
              <w:spacing w:line="180" w:lineRule="exact"/>
              <w:jc w:val="left"/>
              <w:textAlignment w:val="auto"/>
              <w:rPr>
                <w:rFonts w:hint="default" w:ascii="Times New Roman" w:hAnsi="Times New Roman" w:eastAsia="方正仿宋_GBK" w:cs="Times New Roman"/>
                <w:sz w:val="18"/>
                <w:szCs w:val="18"/>
              </w:rPr>
            </w:pPr>
            <w:r>
              <w:rPr>
                <w:rFonts w:hint="default" w:ascii="Times New Roman" w:hAnsi="Times New Roman" w:eastAsia="方正仿宋_GBK" w:cs="Times New Roman"/>
                <w:color w:val="000000"/>
                <w:kern w:val="0"/>
                <w:sz w:val="18"/>
                <w:szCs w:val="18"/>
              </w:rPr>
              <w:sym w:font="Wingdings 2" w:char="0052"/>
            </w:r>
            <w:r>
              <w:rPr>
                <w:rFonts w:hint="default" w:ascii="Times New Roman" w:hAnsi="Times New Roman" w:eastAsia="方正仿宋_GBK" w:cs="Times New Roman"/>
                <w:color w:val="000000"/>
                <w:kern w:val="0"/>
                <w:sz w:val="18"/>
                <w:szCs w:val="18"/>
              </w:rPr>
              <w:t xml:space="preserve">政府网站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□政府公报                                                                                                                                                                                                                □两微一端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□发布会/听证会                                                                                                                                                                                              □广播电视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□纸质媒体                                                                                                                                                                                                   </w:t>
            </w:r>
            <w:r>
              <w:rPr>
                <w:rFonts w:hint="default" w:ascii="Times New Roman" w:hAnsi="Times New Roman" w:eastAsia="方正仿宋_GBK" w:cs="Times New Roman"/>
                <w:color w:val="000000"/>
                <w:kern w:val="0"/>
                <w:sz w:val="18"/>
                <w:szCs w:val="18"/>
              </w:rPr>
              <w:sym w:font="Wingdings 2" w:char="0052"/>
            </w:r>
            <w:r>
              <w:rPr>
                <w:rFonts w:hint="default" w:ascii="Times New Roman" w:hAnsi="Times New Roman" w:eastAsia="方正仿宋_GBK" w:cs="Times New Roman"/>
                <w:color w:val="000000"/>
                <w:kern w:val="0"/>
                <w:sz w:val="18"/>
                <w:szCs w:val="18"/>
              </w:rPr>
              <w:t xml:space="preserve">公开查阅点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w:t>
            </w:r>
            <w:r>
              <w:rPr>
                <w:rFonts w:hint="default" w:ascii="Times New Roman" w:hAnsi="Times New Roman" w:eastAsia="方正仿宋_GBK" w:cs="Times New Roman"/>
                <w:color w:val="000000"/>
                <w:kern w:val="0"/>
                <w:sz w:val="18"/>
                <w:szCs w:val="18"/>
              </w:rPr>
              <w:sym w:font="Wingdings 2" w:char="0052"/>
            </w:r>
            <w:r>
              <w:rPr>
                <w:rFonts w:hint="default" w:ascii="Times New Roman" w:hAnsi="Times New Roman" w:eastAsia="方正仿宋_GBK" w:cs="Times New Roman"/>
                <w:color w:val="000000"/>
                <w:kern w:val="0"/>
                <w:sz w:val="18"/>
                <w:szCs w:val="18"/>
              </w:rPr>
              <w:t xml:space="preserve">政务服务中心                                                                                                                                                                                                    □便民服务站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□入户/现场                                                                                                                                                                                                   □社区/企事业单位/村公示栏（电子屏）                                                                                                                                                                                          □精准推送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□其他</w:t>
            </w:r>
          </w:p>
        </w:tc>
        <w:tc>
          <w:tcPr>
            <w:tcW w:w="666"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w:t>
            </w:r>
          </w:p>
        </w:tc>
        <w:tc>
          <w:tcPr>
            <w:tcW w:w="600"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p>
        </w:tc>
        <w:tc>
          <w:tcPr>
            <w:tcW w:w="587"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w:t>
            </w:r>
          </w:p>
        </w:tc>
        <w:tc>
          <w:tcPr>
            <w:tcW w:w="691"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kern w:val="0"/>
                <w:sz w:val="18"/>
                <w:szCs w:val="18"/>
                <w:lang w:bidi="ar"/>
              </w:rPr>
            </w:pPr>
          </w:p>
        </w:tc>
        <w:tc>
          <w:tcPr>
            <w:tcW w:w="678"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kern w:val="0"/>
                <w:sz w:val="18"/>
                <w:szCs w:val="18"/>
                <w:lang w:bidi="ar"/>
              </w:rPr>
            </w:pPr>
            <w:r>
              <w:rPr>
                <w:rFonts w:hint="default" w:ascii="Times New Roman" w:hAnsi="Times New Roman" w:eastAsia="方正仿宋_GBK" w:cs="Times New Roman"/>
                <w:sz w:val="18"/>
                <w:szCs w:val="18"/>
              </w:rPr>
              <w:t>√</w:t>
            </w:r>
          </w:p>
        </w:tc>
        <w:tc>
          <w:tcPr>
            <w:tcW w:w="644"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kern w:val="0"/>
                <w:sz w:val="18"/>
                <w:szCs w:val="18"/>
                <w:lang w:bidi="ar"/>
              </w:rPr>
            </w:pPr>
            <w:r>
              <w:rPr>
                <w:rFonts w:hint="default" w:ascii="Times New Roman" w:hAnsi="Times New Roman" w:eastAsia="方正仿宋_GBK"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 w:hRule="atLeast"/>
          <w:jc w:val="center"/>
        </w:trPr>
        <w:tc>
          <w:tcPr>
            <w:tcW w:w="407"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2</w:t>
            </w:r>
          </w:p>
        </w:tc>
        <w:tc>
          <w:tcPr>
            <w:tcW w:w="665"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textAlignment w:val="auto"/>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咨询服务</w:t>
            </w:r>
          </w:p>
        </w:tc>
        <w:tc>
          <w:tcPr>
            <w:tcW w:w="1277"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kern w:val="0"/>
                <w:sz w:val="18"/>
                <w:szCs w:val="18"/>
                <w:lang w:bidi="ar"/>
              </w:rPr>
              <w:t>公共法律服务实体平台、热线平台、网络平台咨询服务</w:t>
            </w:r>
          </w:p>
        </w:tc>
        <w:tc>
          <w:tcPr>
            <w:tcW w:w="1161" w:type="dxa"/>
            <w:noWrap w:val="0"/>
            <w:vAlign w:val="center"/>
          </w:tcPr>
          <w:p>
            <w:pPr>
              <w:keepNext w:val="0"/>
              <w:keepLines w:val="0"/>
              <w:pageBreakBefore w:val="0"/>
              <w:widowControl/>
              <w:kinsoku/>
              <w:wordWrap/>
              <w:topLinePunct w:val="0"/>
              <w:autoSpaceDE/>
              <w:autoSpaceDN/>
              <w:bidi w:val="0"/>
              <w:adjustRightInd/>
              <w:spacing w:line="200" w:lineRule="exact"/>
              <w:jc w:val="left"/>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kern w:val="0"/>
                <w:sz w:val="18"/>
                <w:szCs w:val="18"/>
                <w:lang w:bidi="ar"/>
              </w:rPr>
              <w:t>公共法律服务实体、热线、网络平台法律咨询服务指南</w:t>
            </w:r>
          </w:p>
        </w:tc>
        <w:tc>
          <w:tcPr>
            <w:tcW w:w="2804" w:type="dxa"/>
            <w:noWrap w:val="0"/>
            <w:vAlign w:val="center"/>
          </w:tcPr>
          <w:p>
            <w:pPr>
              <w:keepNext w:val="0"/>
              <w:keepLines w:val="0"/>
              <w:pageBreakBefore w:val="0"/>
              <w:widowControl/>
              <w:numPr>
                <w:ilvl w:val="0"/>
                <w:numId w:val="0"/>
              </w:numPr>
              <w:kinsoku/>
              <w:wordWrap/>
              <w:topLinePunct w:val="0"/>
              <w:autoSpaceDE/>
              <w:autoSpaceDN/>
              <w:bidi w:val="0"/>
              <w:adjustRightInd/>
              <w:spacing w:line="200" w:lineRule="exact"/>
              <w:textAlignment w:val="center"/>
              <w:rPr>
                <w:rFonts w:hint="default" w:ascii="Times New Roman" w:hAnsi="Times New Roman" w:eastAsia="方正仿宋_GBK" w:cs="Times New Roman"/>
                <w:kern w:val="0"/>
                <w:sz w:val="18"/>
                <w:szCs w:val="18"/>
                <w:lang w:bidi="ar"/>
              </w:rPr>
            </w:pPr>
            <w:r>
              <w:rPr>
                <w:rFonts w:hint="default" w:ascii="Times New Roman" w:hAnsi="Times New Roman" w:eastAsia="方正仿宋_GBK" w:cs="Times New Roman"/>
                <w:kern w:val="0"/>
                <w:sz w:val="18"/>
                <w:szCs w:val="18"/>
                <w:lang w:val="en-US" w:eastAsia="zh-CN" w:bidi="ar"/>
              </w:rPr>
              <w:t>1.</w:t>
            </w:r>
            <w:r>
              <w:rPr>
                <w:rFonts w:hint="default" w:ascii="Times New Roman" w:hAnsi="Times New Roman" w:eastAsia="方正仿宋_GBK" w:cs="Times New Roman"/>
                <w:kern w:val="0"/>
                <w:sz w:val="18"/>
                <w:szCs w:val="18"/>
                <w:lang w:bidi="ar"/>
              </w:rPr>
              <w:t>《中华人民共和国政府信息公开条例》</w:t>
            </w:r>
          </w:p>
          <w:p>
            <w:pPr>
              <w:keepNext w:val="0"/>
              <w:keepLines w:val="0"/>
              <w:pageBreakBefore w:val="0"/>
              <w:widowControl/>
              <w:numPr>
                <w:ilvl w:val="0"/>
                <w:numId w:val="0"/>
              </w:numPr>
              <w:kinsoku/>
              <w:wordWrap/>
              <w:topLinePunct w:val="0"/>
              <w:autoSpaceDE/>
              <w:autoSpaceDN/>
              <w:bidi w:val="0"/>
              <w:adjustRightInd/>
              <w:spacing w:line="200" w:lineRule="exact"/>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kern w:val="0"/>
                <w:sz w:val="18"/>
                <w:szCs w:val="18"/>
                <w:lang w:val="en-US" w:eastAsia="zh-CN" w:bidi="ar"/>
              </w:rPr>
              <w:t>2.</w:t>
            </w:r>
            <w:r>
              <w:rPr>
                <w:rFonts w:hint="default" w:ascii="Times New Roman" w:hAnsi="Times New Roman" w:eastAsia="方正仿宋_GBK" w:cs="Times New Roman"/>
                <w:kern w:val="0"/>
                <w:sz w:val="18"/>
                <w:szCs w:val="18"/>
                <w:lang w:bidi="ar"/>
              </w:rPr>
              <w:t>《司法部办公厅关于印发公共法律服务领域基层政务公开标准指引的通知》（司办通〔2019〕57号）</w:t>
            </w:r>
          </w:p>
        </w:tc>
        <w:tc>
          <w:tcPr>
            <w:tcW w:w="861"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kern w:val="0"/>
                <w:sz w:val="18"/>
                <w:szCs w:val="18"/>
                <w:lang w:bidi="ar"/>
              </w:rPr>
              <w:t>制作或获取信息之日起20</w:t>
            </w:r>
            <w:r>
              <w:rPr>
                <w:rFonts w:hint="default" w:ascii="Times New Roman" w:hAnsi="Times New Roman" w:eastAsia="方正仿宋_GBK" w:cs="Times New Roman"/>
                <w:w w:val="95"/>
                <w:kern w:val="0"/>
                <w:sz w:val="18"/>
                <w:szCs w:val="18"/>
                <w:lang w:bidi="ar"/>
              </w:rPr>
              <w:t>个工作日内</w:t>
            </w:r>
          </w:p>
        </w:tc>
        <w:tc>
          <w:tcPr>
            <w:tcW w:w="848"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kern w:val="0"/>
                <w:sz w:val="18"/>
                <w:szCs w:val="18"/>
                <w:lang w:eastAsia="zh-CN" w:bidi="ar"/>
              </w:rPr>
              <w:t>区司法局</w:t>
            </w:r>
            <w:r>
              <w:rPr>
                <w:rFonts w:hint="default" w:ascii="Times New Roman" w:hAnsi="Times New Roman" w:eastAsia="方正仿宋_GBK" w:cs="Times New Roman"/>
                <w:kern w:val="0"/>
                <w:sz w:val="18"/>
                <w:szCs w:val="18"/>
                <w:lang w:bidi="ar"/>
              </w:rPr>
              <w:t>、</w:t>
            </w:r>
            <w:r>
              <w:rPr>
                <w:rFonts w:hint="eastAsia" w:ascii="Times New Roman" w:hAnsi="Times New Roman" w:eastAsia="方正仿宋_GBK" w:cs="Times New Roman"/>
                <w:kern w:val="0"/>
                <w:sz w:val="18"/>
                <w:szCs w:val="18"/>
                <w:lang w:val="en-US" w:eastAsia="zh-CN" w:bidi="ar"/>
              </w:rPr>
              <w:t>金洞乡人民政府</w:t>
            </w:r>
          </w:p>
        </w:tc>
        <w:tc>
          <w:tcPr>
            <w:tcW w:w="3195" w:type="dxa"/>
            <w:noWrap w:val="0"/>
            <w:vAlign w:val="center"/>
          </w:tcPr>
          <w:p>
            <w:pPr>
              <w:keepNext w:val="0"/>
              <w:keepLines w:val="0"/>
              <w:pageBreakBefore w:val="0"/>
              <w:kinsoku/>
              <w:wordWrap/>
              <w:overflowPunct w:val="0"/>
              <w:topLinePunct w:val="0"/>
              <w:autoSpaceDE/>
              <w:autoSpaceDN/>
              <w:bidi w:val="0"/>
              <w:adjustRightInd/>
              <w:snapToGrid w:val="0"/>
              <w:spacing w:line="200" w:lineRule="exact"/>
              <w:jc w:val="left"/>
              <w:rPr>
                <w:rFonts w:hint="default" w:ascii="Times New Roman" w:hAnsi="Times New Roman" w:eastAsia="方正仿宋_GBK" w:cs="Times New Roman"/>
                <w:sz w:val="18"/>
                <w:szCs w:val="18"/>
              </w:rPr>
            </w:pPr>
            <w:r>
              <w:rPr>
                <w:rFonts w:hint="default" w:ascii="Times New Roman" w:hAnsi="Times New Roman" w:eastAsia="方正仿宋_GBK" w:cs="Times New Roman"/>
                <w:color w:val="000000"/>
                <w:kern w:val="0"/>
                <w:sz w:val="18"/>
                <w:szCs w:val="18"/>
              </w:rPr>
              <w:sym w:font="Wingdings 2" w:char="0052"/>
            </w:r>
            <w:r>
              <w:rPr>
                <w:rFonts w:hint="default" w:ascii="Times New Roman" w:hAnsi="Times New Roman" w:eastAsia="方正仿宋_GBK" w:cs="Times New Roman"/>
                <w:color w:val="000000"/>
                <w:kern w:val="0"/>
                <w:sz w:val="18"/>
                <w:szCs w:val="18"/>
              </w:rPr>
              <w:t xml:space="preserve">政府网站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□政府公报                                                                                                                                                                                                                </w:t>
            </w:r>
            <w:r>
              <w:rPr>
                <w:rFonts w:hint="default" w:ascii="Times New Roman" w:hAnsi="Times New Roman" w:eastAsia="方正仿宋_GBK" w:cs="Times New Roman"/>
                <w:color w:val="000000"/>
                <w:kern w:val="0"/>
                <w:sz w:val="18"/>
                <w:szCs w:val="18"/>
              </w:rPr>
              <w:sym w:font="Wingdings 2" w:char="0052"/>
            </w:r>
            <w:r>
              <w:rPr>
                <w:rFonts w:hint="default" w:ascii="Times New Roman" w:hAnsi="Times New Roman" w:eastAsia="方正仿宋_GBK" w:cs="Times New Roman"/>
                <w:color w:val="000000"/>
                <w:kern w:val="0"/>
                <w:sz w:val="18"/>
                <w:szCs w:val="18"/>
              </w:rPr>
              <w:t xml:space="preserve">两微一端    □发布会/听证会                                                                                                                                                                                              □广播电视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□纸质媒体                                                                                                                                                                                                   </w:t>
            </w:r>
            <w:r>
              <w:rPr>
                <w:rFonts w:hint="default" w:ascii="Times New Roman" w:hAnsi="Times New Roman" w:eastAsia="方正仿宋_GBK" w:cs="Times New Roman"/>
                <w:color w:val="000000"/>
                <w:kern w:val="0"/>
                <w:sz w:val="18"/>
                <w:szCs w:val="18"/>
              </w:rPr>
              <w:sym w:font="Wingdings 2" w:char="0052"/>
            </w:r>
            <w:r>
              <w:rPr>
                <w:rFonts w:hint="default" w:ascii="Times New Roman" w:hAnsi="Times New Roman" w:eastAsia="方正仿宋_GBK" w:cs="Times New Roman"/>
                <w:color w:val="000000"/>
                <w:kern w:val="0"/>
                <w:sz w:val="18"/>
                <w:szCs w:val="18"/>
              </w:rPr>
              <w:t xml:space="preserve">公开查阅点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w:t>
            </w:r>
            <w:r>
              <w:rPr>
                <w:rFonts w:hint="default" w:ascii="Times New Roman" w:hAnsi="Times New Roman" w:eastAsia="方正仿宋_GBK" w:cs="Times New Roman"/>
                <w:color w:val="000000"/>
                <w:kern w:val="0"/>
                <w:sz w:val="18"/>
                <w:szCs w:val="18"/>
              </w:rPr>
              <w:sym w:font="Wingdings 2" w:char="0052"/>
            </w:r>
            <w:r>
              <w:rPr>
                <w:rFonts w:hint="default" w:ascii="Times New Roman" w:hAnsi="Times New Roman" w:eastAsia="方正仿宋_GBK" w:cs="Times New Roman"/>
                <w:color w:val="000000"/>
                <w:kern w:val="0"/>
                <w:sz w:val="18"/>
                <w:szCs w:val="18"/>
              </w:rPr>
              <w:t xml:space="preserve">政务服务中心                                                                                                                                                                                                    □便民服务站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□入户/现场                                                                                                                                                                                                   □社区/企事业单位/村公示栏（电子屏）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□精准推送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□其他</w:t>
            </w:r>
          </w:p>
        </w:tc>
        <w:tc>
          <w:tcPr>
            <w:tcW w:w="666"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w:t>
            </w:r>
          </w:p>
        </w:tc>
        <w:tc>
          <w:tcPr>
            <w:tcW w:w="600"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p>
        </w:tc>
        <w:tc>
          <w:tcPr>
            <w:tcW w:w="587"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w:t>
            </w:r>
          </w:p>
        </w:tc>
        <w:tc>
          <w:tcPr>
            <w:tcW w:w="691"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kern w:val="0"/>
                <w:sz w:val="18"/>
                <w:szCs w:val="18"/>
                <w:lang w:bidi="ar"/>
              </w:rPr>
            </w:pPr>
          </w:p>
        </w:tc>
        <w:tc>
          <w:tcPr>
            <w:tcW w:w="678"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kern w:val="0"/>
                <w:sz w:val="18"/>
                <w:szCs w:val="18"/>
                <w:lang w:bidi="ar"/>
              </w:rPr>
            </w:pPr>
            <w:r>
              <w:rPr>
                <w:rFonts w:hint="default" w:ascii="Times New Roman" w:hAnsi="Times New Roman" w:eastAsia="方正仿宋_GBK" w:cs="Times New Roman"/>
                <w:sz w:val="18"/>
                <w:szCs w:val="18"/>
              </w:rPr>
              <w:t>√</w:t>
            </w:r>
          </w:p>
        </w:tc>
        <w:tc>
          <w:tcPr>
            <w:tcW w:w="644"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kern w:val="0"/>
                <w:sz w:val="18"/>
                <w:szCs w:val="18"/>
                <w:lang w:bidi="ar"/>
              </w:rPr>
            </w:pPr>
            <w:r>
              <w:rPr>
                <w:rFonts w:hint="default" w:ascii="Times New Roman" w:hAnsi="Times New Roman" w:eastAsia="方正仿宋_GBK"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6" w:hRule="atLeast"/>
          <w:jc w:val="center"/>
        </w:trPr>
        <w:tc>
          <w:tcPr>
            <w:tcW w:w="407"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textAlignment w:val="auto"/>
              <w:rPr>
                <w:rFonts w:hint="default" w:ascii="Times New Roman" w:hAnsi="Times New Roman" w:eastAsia="方正仿宋_GBK" w:cs="Times New Roman"/>
                <w:sz w:val="18"/>
                <w:szCs w:val="18"/>
                <w:lang w:val="en-US" w:eastAsia="zh-CN"/>
              </w:rPr>
            </w:pPr>
            <w:r>
              <w:rPr>
                <w:rFonts w:hint="eastAsia" w:ascii="Times New Roman" w:hAnsi="Times New Roman" w:eastAsia="方正仿宋_GBK" w:cs="Times New Roman"/>
                <w:sz w:val="18"/>
                <w:szCs w:val="18"/>
                <w:lang w:val="en-US" w:eastAsia="zh-CN"/>
              </w:rPr>
              <w:t>3</w:t>
            </w:r>
          </w:p>
        </w:tc>
        <w:tc>
          <w:tcPr>
            <w:tcW w:w="665"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textAlignment w:val="auto"/>
              <w:rPr>
                <w:rFonts w:hint="default" w:ascii="Times New Roman" w:hAnsi="Times New Roman" w:eastAsia="方正仿宋_GBK" w:cs="Times New Roman"/>
                <w:sz w:val="18"/>
                <w:szCs w:val="18"/>
                <w:lang w:eastAsia="zh-CN"/>
              </w:rPr>
            </w:pPr>
            <w:r>
              <w:rPr>
                <w:rFonts w:hint="default" w:ascii="Times New Roman" w:hAnsi="Times New Roman" w:eastAsia="方正仿宋_GBK" w:cs="Times New Roman"/>
                <w:sz w:val="18"/>
                <w:szCs w:val="18"/>
                <w:lang w:eastAsia="zh-CN"/>
              </w:rPr>
              <w:t>查询服务</w:t>
            </w:r>
          </w:p>
        </w:tc>
        <w:tc>
          <w:tcPr>
            <w:tcW w:w="1277"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kern w:val="0"/>
                <w:sz w:val="18"/>
                <w:szCs w:val="18"/>
                <w:lang w:bidi="ar"/>
              </w:rPr>
              <w:t>公共法律服务实体、热线、网络平台信息</w:t>
            </w:r>
          </w:p>
        </w:tc>
        <w:tc>
          <w:tcPr>
            <w:tcW w:w="1161"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kern w:val="0"/>
                <w:sz w:val="18"/>
                <w:szCs w:val="18"/>
                <w:lang w:bidi="ar"/>
              </w:rPr>
              <w:t>公共法律服务平台建设相关规划，实体场所地址、热线电话、中国法网和重庆法网网址，公共法律服务事项清单及服务指南</w:t>
            </w:r>
          </w:p>
        </w:tc>
        <w:tc>
          <w:tcPr>
            <w:tcW w:w="2804" w:type="dxa"/>
            <w:noWrap w:val="0"/>
            <w:vAlign w:val="center"/>
          </w:tcPr>
          <w:p>
            <w:pPr>
              <w:keepNext w:val="0"/>
              <w:keepLines w:val="0"/>
              <w:pageBreakBefore w:val="0"/>
              <w:widowControl/>
              <w:numPr>
                <w:ilvl w:val="0"/>
                <w:numId w:val="0"/>
              </w:numPr>
              <w:kinsoku/>
              <w:wordWrap/>
              <w:topLinePunct w:val="0"/>
              <w:autoSpaceDE/>
              <w:autoSpaceDN/>
              <w:bidi w:val="0"/>
              <w:adjustRightInd/>
              <w:spacing w:line="200" w:lineRule="exact"/>
              <w:textAlignment w:val="center"/>
              <w:rPr>
                <w:rFonts w:hint="default" w:ascii="Times New Roman" w:hAnsi="Times New Roman" w:eastAsia="方正仿宋_GBK" w:cs="Times New Roman"/>
                <w:kern w:val="0"/>
                <w:sz w:val="18"/>
                <w:szCs w:val="18"/>
                <w:lang w:bidi="ar"/>
              </w:rPr>
            </w:pPr>
            <w:r>
              <w:rPr>
                <w:rFonts w:hint="default" w:ascii="Times New Roman" w:hAnsi="Times New Roman" w:eastAsia="方正仿宋_GBK" w:cs="Times New Roman"/>
                <w:kern w:val="0"/>
                <w:sz w:val="18"/>
                <w:szCs w:val="18"/>
                <w:lang w:val="en-US" w:eastAsia="zh-CN" w:bidi="ar"/>
              </w:rPr>
              <w:t>1.</w:t>
            </w:r>
            <w:r>
              <w:rPr>
                <w:rFonts w:hint="default" w:ascii="Times New Roman" w:hAnsi="Times New Roman" w:eastAsia="方正仿宋_GBK" w:cs="Times New Roman"/>
                <w:kern w:val="0"/>
                <w:sz w:val="18"/>
                <w:szCs w:val="18"/>
                <w:lang w:bidi="ar"/>
              </w:rPr>
              <w:t>《中华人民共和国政府信息公开条例》</w:t>
            </w:r>
          </w:p>
          <w:p>
            <w:pPr>
              <w:keepNext w:val="0"/>
              <w:keepLines w:val="0"/>
              <w:pageBreakBefore w:val="0"/>
              <w:widowControl/>
              <w:numPr>
                <w:ilvl w:val="0"/>
                <w:numId w:val="0"/>
              </w:numPr>
              <w:kinsoku/>
              <w:wordWrap/>
              <w:topLinePunct w:val="0"/>
              <w:autoSpaceDE/>
              <w:autoSpaceDN/>
              <w:bidi w:val="0"/>
              <w:adjustRightInd/>
              <w:spacing w:line="200" w:lineRule="exact"/>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kern w:val="0"/>
                <w:sz w:val="18"/>
                <w:szCs w:val="18"/>
                <w:lang w:val="en-US" w:eastAsia="zh-CN" w:bidi="ar"/>
              </w:rPr>
              <w:t>2.</w:t>
            </w:r>
            <w:r>
              <w:rPr>
                <w:rFonts w:hint="default" w:ascii="Times New Roman" w:hAnsi="Times New Roman" w:eastAsia="方正仿宋_GBK" w:cs="Times New Roman"/>
                <w:kern w:val="0"/>
                <w:sz w:val="18"/>
                <w:szCs w:val="18"/>
                <w:lang w:bidi="ar"/>
              </w:rPr>
              <w:t>《司法部办公厅关于印发公共法律服务领域基层政务公开标准指引的通知》（司办通〔2019〕57号）</w:t>
            </w:r>
          </w:p>
        </w:tc>
        <w:tc>
          <w:tcPr>
            <w:tcW w:w="861"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kern w:val="0"/>
                <w:sz w:val="18"/>
                <w:szCs w:val="18"/>
                <w:lang w:bidi="ar"/>
              </w:rPr>
              <w:t>制作或获取信息之日起20</w:t>
            </w:r>
            <w:r>
              <w:rPr>
                <w:rFonts w:hint="default" w:ascii="Times New Roman" w:hAnsi="Times New Roman" w:eastAsia="方正仿宋_GBK" w:cs="Times New Roman"/>
                <w:w w:val="95"/>
                <w:kern w:val="0"/>
                <w:sz w:val="18"/>
                <w:szCs w:val="18"/>
                <w:lang w:bidi="ar"/>
              </w:rPr>
              <w:t>个工作日内</w:t>
            </w:r>
          </w:p>
        </w:tc>
        <w:tc>
          <w:tcPr>
            <w:tcW w:w="848"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kern w:val="0"/>
                <w:sz w:val="18"/>
                <w:szCs w:val="18"/>
                <w:lang w:eastAsia="zh-CN" w:bidi="ar"/>
              </w:rPr>
              <w:t>区司法局</w:t>
            </w:r>
            <w:r>
              <w:rPr>
                <w:rFonts w:hint="default" w:ascii="Times New Roman" w:hAnsi="Times New Roman" w:eastAsia="方正仿宋_GBK" w:cs="Times New Roman"/>
                <w:kern w:val="0"/>
                <w:sz w:val="18"/>
                <w:szCs w:val="18"/>
                <w:lang w:bidi="ar"/>
              </w:rPr>
              <w:t>、</w:t>
            </w:r>
            <w:r>
              <w:rPr>
                <w:rFonts w:hint="eastAsia" w:ascii="Times New Roman" w:hAnsi="Times New Roman" w:eastAsia="方正仿宋_GBK" w:cs="Times New Roman"/>
                <w:kern w:val="0"/>
                <w:sz w:val="18"/>
                <w:szCs w:val="18"/>
                <w:lang w:val="en-US" w:eastAsia="zh-CN" w:bidi="ar"/>
              </w:rPr>
              <w:t>金洞乡人民政府</w:t>
            </w:r>
          </w:p>
        </w:tc>
        <w:tc>
          <w:tcPr>
            <w:tcW w:w="3195" w:type="dxa"/>
            <w:noWrap w:val="0"/>
            <w:vAlign w:val="center"/>
          </w:tcPr>
          <w:p>
            <w:pPr>
              <w:keepNext w:val="0"/>
              <w:keepLines w:val="0"/>
              <w:pageBreakBefore w:val="0"/>
              <w:kinsoku/>
              <w:wordWrap/>
              <w:overflowPunct w:val="0"/>
              <w:topLinePunct w:val="0"/>
              <w:autoSpaceDE/>
              <w:autoSpaceDN/>
              <w:bidi w:val="0"/>
              <w:adjustRightInd/>
              <w:snapToGrid w:val="0"/>
              <w:spacing w:line="200" w:lineRule="exact"/>
              <w:jc w:val="left"/>
              <w:rPr>
                <w:rFonts w:hint="default" w:ascii="Times New Roman" w:hAnsi="Times New Roman" w:eastAsia="方正仿宋_GBK" w:cs="Times New Roman"/>
                <w:sz w:val="18"/>
                <w:szCs w:val="18"/>
              </w:rPr>
            </w:pPr>
            <w:r>
              <w:rPr>
                <w:rFonts w:hint="default" w:ascii="Times New Roman" w:hAnsi="Times New Roman" w:eastAsia="方正仿宋_GBK" w:cs="Times New Roman"/>
                <w:color w:val="000000"/>
                <w:kern w:val="0"/>
                <w:sz w:val="18"/>
                <w:szCs w:val="18"/>
              </w:rPr>
              <w:sym w:font="Wingdings 2" w:char="0052"/>
            </w:r>
            <w:r>
              <w:rPr>
                <w:rFonts w:hint="default" w:ascii="Times New Roman" w:hAnsi="Times New Roman" w:eastAsia="方正仿宋_GBK" w:cs="Times New Roman"/>
                <w:color w:val="000000"/>
                <w:kern w:val="0"/>
                <w:sz w:val="18"/>
                <w:szCs w:val="18"/>
              </w:rPr>
              <w:t xml:space="preserve">政府网站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□政府公报                                                                                                                                                                                                                </w:t>
            </w:r>
            <w:r>
              <w:rPr>
                <w:rFonts w:hint="default" w:ascii="Times New Roman" w:hAnsi="Times New Roman" w:eastAsia="方正仿宋_GBK" w:cs="Times New Roman"/>
                <w:color w:val="000000"/>
                <w:kern w:val="0"/>
                <w:sz w:val="18"/>
                <w:szCs w:val="18"/>
              </w:rPr>
              <w:sym w:font="Wingdings 2" w:char="0052"/>
            </w:r>
            <w:r>
              <w:rPr>
                <w:rFonts w:hint="default" w:ascii="Times New Roman" w:hAnsi="Times New Roman" w:eastAsia="方正仿宋_GBK" w:cs="Times New Roman"/>
                <w:color w:val="000000"/>
                <w:kern w:val="0"/>
                <w:sz w:val="18"/>
                <w:szCs w:val="18"/>
              </w:rPr>
              <w:t xml:space="preserve">两微一端    □发布会/听证会                                                                                                                                                                                              □广播电视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□纸质媒体                                                                                                                                                                                                   </w:t>
            </w:r>
            <w:r>
              <w:rPr>
                <w:rFonts w:hint="default" w:ascii="Times New Roman" w:hAnsi="Times New Roman" w:eastAsia="方正仿宋_GBK" w:cs="Times New Roman"/>
                <w:color w:val="000000"/>
                <w:kern w:val="0"/>
                <w:sz w:val="18"/>
                <w:szCs w:val="18"/>
              </w:rPr>
              <w:sym w:font="Wingdings 2" w:char="0052"/>
            </w:r>
            <w:r>
              <w:rPr>
                <w:rFonts w:hint="default" w:ascii="Times New Roman" w:hAnsi="Times New Roman" w:eastAsia="方正仿宋_GBK" w:cs="Times New Roman"/>
                <w:color w:val="000000"/>
                <w:kern w:val="0"/>
                <w:sz w:val="18"/>
                <w:szCs w:val="18"/>
              </w:rPr>
              <w:t xml:space="preserve">公开查阅点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w:t>
            </w:r>
            <w:r>
              <w:rPr>
                <w:rFonts w:hint="default" w:ascii="Times New Roman" w:hAnsi="Times New Roman" w:eastAsia="方正仿宋_GBK" w:cs="Times New Roman"/>
                <w:color w:val="000000"/>
                <w:kern w:val="0"/>
                <w:sz w:val="18"/>
                <w:szCs w:val="18"/>
              </w:rPr>
              <w:sym w:font="Wingdings 2" w:char="0052"/>
            </w:r>
            <w:r>
              <w:rPr>
                <w:rFonts w:hint="default" w:ascii="Times New Roman" w:hAnsi="Times New Roman" w:eastAsia="方正仿宋_GBK" w:cs="Times New Roman"/>
                <w:color w:val="000000"/>
                <w:kern w:val="0"/>
                <w:sz w:val="18"/>
                <w:szCs w:val="18"/>
              </w:rPr>
              <w:t xml:space="preserve">政务服务中心                                                                                                                                                                                                    □便民服务站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□入户/现场                                                                                                                                                                                                   □社区/企事业单位/村公示栏（电子屏）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□精准推送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□其他</w:t>
            </w:r>
          </w:p>
        </w:tc>
        <w:tc>
          <w:tcPr>
            <w:tcW w:w="666"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w:t>
            </w:r>
          </w:p>
        </w:tc>
        <w:tc>
          <w:tcPr>
            <w:tcW w:w="600"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p>
        </w:tc>
        <w:tc>
          <w:tcPr>
            <w:tcW w:w="587"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w:t>
            </w:r>
          </w:p>
        </w:tc>
        <w:tc>
          <w:tcPr>
            <w:tcW w:w="691"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kern w:val="0"/>
                <w:sz w:val="18"/>
                <w:szCs w:val="18"/>
                <w:lang w:bidi="ar"/>
              </w:rPr>
            </w:pPr>
          </w:p>
        </w:tc>
        <w:tc>
          <w:tcPr>
            <w:tcW w:w="678"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kern w:val="0"/>
                <w:sz w:val="18"/>
                <w:szCs w:val="18"/>
                <w:lang w:bidi="ar"/>
              </w:rPr>
            </w:pPr>
            <w:r>
              <w:rPr>
                <w:rFonts w:hint="default" w:ascii="Times New Roman" w:hAnsi="Times New Roman" w:eastAsia="方正仿宋_GBK" w:cs="Times New Roman"/>
                <w:sz w:val="18"/>
                <w:szCs w:val="18"/>
              </w:rPr>
              <w:t>√</w:t>
            </w:r>
          </w:p>
        </w:tc>
        <w:tc>
          <w:tcPr>
            <w:tcW w:w="644"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kern w:val="0"/>
                <w:sz w:val="18"/>
                <w:szCs w:val="18"/>
                <w:lang w:bidi="ar"/>
              </w:rPr>
            </w:pPr>
            <w:r>
              <w:rPr>
                <w:rFonts w:hint="default" w:ascii="Times New Roman" w:hAnsi="Times New Roman" w:eastAsia="方正仿宋_GBK"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atLeast"/>
          <w:jc w:val="center"/>
        </w:trPr>
        <w:tc>
          <w:tcPr>
            <w:tcW w:w="407"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textAlignment w:val="auto"/>
              <w:rPr>
                <w:rFonts w:hint="default" w:ascii="Times New Roman" w:hAnsi="Times New Roman" w:eastAsia="方正仿宋_GBK" w:cs="Times New Roman"/>
                <w:sz w:val="18"/>
                <w:szCs w:val="18"/>
                <w:lang w:val="en-US" w:eastAsia="zh-CN"/>
              </w:rPr>
            </w:pPr>
            <w:r>
              <w:rPr>
                <w:rFonts w:hint="eastAsia" w:ascii="Times New Roman" w:hAnsi="Times New Roman" w:eastAsia="方正仿宋_GBK" w:cs="Times New Roman"/>
                <w:sz w:val="18"/>
                <w:szCs w:val="18"/>
                <w:lang w:val="en-US" w:eastAsia="zh-CN"/>
              </w:rPr>
              <w:t>4</w:t>
            </w:r>
          </w:p>
        </w:tc>
        <w:tc>
          <w:tcPr>
            <w:tcW w:w="665" w:type="dxa"/>
            <w:vMerge w:val="restart"/>
            <w:noWrap w:val="0"/>
            <w:vAlign w:val="center"/>
          </w:tcPr>
          <w:p>
            <w:pPr>
              <w:pStyle w:val="2"/>
              <w:keepNext w:val="0"/>
              <w:keepLines w:val="0"/>
              <w:pageBreakBefore w:val="0"/>
              <w:widowControl w:val="0"/>
              <w:kinsoku/>
              <w:wordWrap/>
              <w:overflowPunct/>
              <w:topLinePunct w:val="0"/>
              <w:autoSpaceDE/>
              <w:autoSpaceDN/>
              <w:bidi w:val="0"/>
              <w:adjustRightInd/>
              <w:snapToGrid/>
              <w:spacing w:line="200" w:lineRule="exact"/>
              <w:ind w:left="0" w:leftChars="0" w:right="0" w:rightChars="0"/>
              <w:jc w:val="center"/>
              <w:textAlignment w:val="auto"/>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其他公共服务</w:t>
            </w:r>
          </w:p>
        </w:tc>
        <w:tc>
          <w:tcPr>
            <w:tcW w:w="1277"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kern w:val="0"/>
                <w:sz w:val="18"/>
                <w:szCs w:val="18"/>
                <w:lang w:bidi="ar"/>
              </w:rPr>
              <w:t>法律知识普及服务</w:t>
            </w:r>
          </w:p>
        </w:tc>
        <w:tc>
          <w:tcPr>
            <w:tcW w:w="1161"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kern w:val="0"/>
                <w:sz w:val="18"/>
                <w:szCs w:val="18"/>
                <w:lang w:bidi="ar"/>
              </w:rPr>
              <w:t>法律法规资讯、普法动态资讯、普法讲师团信息等</w:t>
            </w:r>
          </w:p>
        </w:tc>
        <w:tc>
          <w:tcPr>
            <w:tcW w:w="2804" w:type="dxa"/>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line="180" w:lineRule="exact"/>
              <w:textAlignment w:val="center"/>
              <w:rPr>
                <w:rFonts w:hint="default" w:ascii="Times New Roman" w:hAnsi="Times New Roman" w:eastAsia="方正仿宋_GBK" w:cs="Times New Roman"/>
                <w:kern w:val="0"/>
                <w:sz w:val="18"/>
                <w:szCs w:val="18"/>
                <w:lang w:bidi="ar"/>
              </w:rPr>
            </w:pPr>
            <w:r>
              <w:rPr>
                <w:rFonts w:hint="default" w:ascii="Times New Roman" w:hAnsi="Times New Roman" w:eastAsia="方正仿宋_GBK" w:cs="Times New Roman"/>
                <w:kern w:val="0"/>
                <w:sz w:val="18"/>
                <w:szCs w:val="18"/>
                <w:lang w:val="en-US" w:eastAsia="zh-CN" w:bidi="ar"/>
              </w:rPr>
              <w:t>1.</w:t>
            </w:r>
            <w:r>
              <w:rPr>
                <w:rFonts w:hint="default" w:ascii="Times New Roman" w:hAnsi="Times New Roman" w:eastAsia="方正仿宋_GBK" w:cs="Times New Roman"/>
                <w:kern w:val="0"/>
                <w:sz w:val="18"/>
                <w:szCs w:val="18"/>
                <w:lang w:bidi="ar"/>
              </w:rPr>
              <w:t>《中华人民共和国政府信息公开条例》</w:t>
            </w:r>
          </w:p>
          <w:p>
            <w:pPr>
              <w:keepNext w:val="0"/>
              <w:keepLines w:val="0"/>
              <w:pageBreakBefore w:val="0"/>
              <w:widowControl/>
              <w:numPr>
                <w:ilvl w:val="0"/>
                <w:numId w:val="0"/>
              </w:numPr>
              <w:kinsoku/>
              <w:wordWrap/>
              <w:overflowPunct/>
              <w:topLinePunct w:val="0"/>
              <w:autoSpaceDE/>
              <w:autoSpaceDN/>
              <w:bidi w:val="0"/>
              <w:adjustRightInd/>
              <w:snapToGrid/>
              <w:spacing w:line="180" w:lineRule="exact"/>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kern w:val="0"/>
                <w:sz w:val="18"/>
                <w:szCs w:val="18"/>
                <w:lang w:val="en-US" w:eastAsia="zh-CN" w:bidi="ar"/>
              </w:rPr>
              <w:t>2.</w:t>
            </w:r>
            <w:r>
              <w:rPr>
                <w:rFonts w:hint="default" w:ascii="Times New Roman" w:hAnsi="Times New Roman" w:eastAsia="方正仿宋_GBK" w:cs="Times New Roman"/>
                <w:kern w:val="0"/>
                <w:sz w:val="18"/>
                <w:szCs w:val="18"/>
                <w:lang w:bidi="ar"/>
              </w:rPr>
              <w:t>《中共中央、国务院转发〈中央宣传部、司法部关于在公民中开展法治宣传教育的第七个五年规划（2016－2020年）〉的通知》</w:t>
            </w:r>
          </w:p>
          <w:p>
            <w:pPr>
              <w:keepNext w:val="0"/>
              <w:keepLines w:val="0"/>
              <w:pageBreakBefore w:val="0"/>
              <w:widowControl/>
              <w:numPr>
                <w:ilvl w:val="0"/>
                <w:numId w:val="0"/>
              </w:numPr>
              <w:kinsoku/>
              <w:wordWrap/>
              <w:overflowPunct/>
              <w:topLinePunct w:val="0"/>
              <w:autoSpaceDE/>
              <w:autoSpaceDN/>
              <w:bidi w:val="0"/>
              <w:adjustRightInd/>
              <w:snapToGrid/>
              <w:spacing w:line="180" w:lineRule="exact"/>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kern w:val="0"/>
                <w:sz w:val="18"/>
                <w:szCs w:val="18"/>
                <w:lang w:val="en-US" w:eastAsia="zh-CN" w:bidi="ar"/>
              </w:rPr>
              <w:t>3.</w:t>
            </w:r>
            <w:r>
              <w:rPr>
                <w:rFonts w:hint="default" w:ascii="Times New Roman" w:hAnsi="Times New Roman" w:eastAsia="方正仿宋_GBK" w:cs="Times New Roman"/>
                <w:kern w:val="0"/>
                <w:sz w:val="18"/>
                <w:szCs w:val="18"/>
                <w:lang w:bidi="ar"/>
              </w:rPr>
              <w:t>《中共重庆市委 重庆市人民政府转发〈中共重庆市委宣传部、重庆市司法局关于在全市公民中开展法治宣传教育的第七个五年规划（2016--2020年）〉的通知》</w:t>
            </w:r>
          </w:p>
        </w:tc>
        <w:tc>
          <w:tcPr>
            <w:tcW w:w="861"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kern w:val="0"/>
                <w:sz w:val="18"/>
                <w:szCs w:val="18"/>
                <w:lang w:bidi="ar"/>
              </w:rPr>
              <w:t>制作或获取信息之日起20</w:t>
            </w:r>
            <w:r>
              <w:rPr>
                <w:rFonts w:hint="default" w:ascii="Times New Roman" w:hAnsi="Times New Roman" w:eastAsia="方正仿宋_GBK" w:cs="Times New Roman"/>
                <w:w w:val="95"/>
                <w:kern w:val="0"/>
                <w:sz w:val="18"/>
                <w:szCs w:val="18"/>
                <w:lang w:bidi="ar"/>
              </w:rPr>
              <w:t>个工作日内</w:t>
            </w:r>
          </w:p>
        </w:tc>
        <w:tc>
          <w:tcPr>
            <w:tcW w:w="848"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kern w:val="0"/>
                <w:sz w:val="18"/>
                <w:szCs w:val="18"/>
                <w:lang w:eastAsia="zh-CN" w:bidi="ar"/>
              </w:rPr>
              <w:t>区司法局</w:t>
            </w:r>
            <w:r>
              <w:rPr>
                <w:rFonts w:hint="default" w:ascii="Times New Roman" w:hAnsi="Times New Roman" w:eastAsia="方正仿宋_GBK" w:cs="Times New Roman"/>
                <w:kern w:val="0"/>
                <w:sz w:val="18"/>
                <w:szCs w:val="18"/>
                <w:lang w:bidi="ar"/>
              </w:rPr>
              <w:t>、</w:t>
            </w:r>
            <w:r>
              <w:rPr>
                <w:rFonts w:hint="eastAsia" w:ascii="Times New Roman" w:hAnsi="Times New Roman" w:eastAsia="方正仿宋_GBK" w:cs="Times New Roman"/>
                <w:kern w:val="0"/>
                <w:sz w:val="18"/>
                <w:szCs w:val="18"/>
                <w:lang w:val="en-US" w:eastAsia="zh-CN" w:bidi="ar"/>
              </w:rPr>
              <w:t>金洞乡人民政府</w:t>
            </w:r>
          </w:p>
        </w:tc>
        <w:tc>
          <w:tcPr>
            <w:tcW w:w="3195" w:type="dxa"/>
            <w:noWrap w:val="0"/>
            <w:vAlign w:val="center"/>
          </w:tcPr>
          <w:p>
            <w:pPr>
              <w:keepNext w:val="0"/>
              <w:keepLines w:val="0"/>
              <w:pageBreakBefore w:val="0"/>
              <w:kinsoku/>
              <w:wordWrap/>
              <w:overflowPunct w:val="0"/>
              <w:topLinePunct w:val="0"/>
              <w:autoSpaceDE/>
              <w:autoSpaceDN/>
              <w:bidi w:val="0"/>
              <w:adjustRightInd/>
              <w:snapToGrid w:val="0"/>
              <w:spacing w:line="200" w:lineRule="exact"/>
              <w:jc w:val="left"/>
              <w:rPr>
                <w:rFonts w:hint="default" w:ascii="Times New Roman" w:hAnsi="Times New Roman" w:eastAsia="方正仿宋_GBK" w:cs="Times New Roman"/>
                <w:sz w:val="18"/>
                <w:szCs w:val="18"/>
              </w:rPr>
            </w:pPr>
            <w:r>
              <w:rPr>
                <w:rFonts w:hint="default" w:ascii="Times New Roman" w:hAnsi="Times New Roman" w:eastAsia="方正仿宋_GBK" w:cs="Times New Roman"/>
                <w:color w:val="000000"/>
                <w:kern w:val="0"/>
                <w:sz w:val="18"/>
                <w:szCs w:val="18"/>
              </w:rPr>
              <w:sym w:font="Wingdings 2" w:char="0052"/>
            </w:r>
            <w:r>
              <w:rPr>
                <w:rFonts w:hint="default" w:ascii="Times New Roman" w:hAnsi="Times New Roman" w:eastAsia="方正仿宋_GBK" w:cs="Times New Roman"/>
                <w:color w:val="000000"/>
                <w:kern w:val="0"/>
                <w:sz w:val="18"/>
                <w:szCs w:val="18"/>
              </w:rPr>
              <w:t xml:space="preserve">政府网站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□政府公报                                                                                                                                                                                                                □两微一端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□发布会/听证会                                                                                                                                                                                              □广播电视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□纸质媒体                                                                                                                                                                                                   </w:t>
            </w:r>
            <w:r>
              <w:rPr>
                <w:rFonts w:hint="default" w:ascii="Times New Roman" w:hAnsi="Times New Roman" w:eastAsia="方正仿宋_GBK" w:cs="Times New Roman"/>
                <w:color w:val="000000"/>
                <w:kern w:val="0"/>
                <w:sz w:val="18"/>
                <w:szCs w:val="18"/>
              </w:rPr>
              <w:sym w:font="Wingdings 2" w:char="0052"/>
            </w:r>
            <w:r>
              <w:rPr>
                <w:rFonts w:hint="default" w:ascii="Times New Roman" w:hAnsi="Times New Roman" w:eastAsia="方正仿宋_GBK" w:cs="Times New Roman"/>
                <w:color w:val="000000"/>
                <w:kern w:val="0"/>
                <w:sz w:val="18"/>
                <w:szCs w:val="18"/>
              </w:rPr>
              <w:t xml:space="preserve">公开查阅点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w:t>
            </w:r>
            <w:r>
              <w:rPr>
                <w:rFonts w:hint="default" w:ascii="Times New Roman" w:hAnsi="Times New Roman" w:eastAsia="方正仿宋_GBK" w:cs="Times New Roman"/>
                <w:color w:val="000000"/>
                <w:kern w:val="0"/>
                <w:sz w:val="18"/>
                <w:szCs w:val="18"/>
              </w:rPr>
              <w:sym w:font="Wingdings 2" w:char="0052"/>
            </w:r>
            <w:r>
              <w:rPr>
                <w:rFonts w:hint="default" w:ascii="Times New Roman" w:hAnsi="Times New Roman" w:eastAsia="方正仿宋_GBK" w:cs="Times New Roman"/>
                <w:color w:val="000000"/>
                <w:kern w:val="0"/>
                <w:sz w:val="18"/>
                <w:szCs w:val="18"/>
              </w:rPr>
              <w:t xml:space="preserve">政务服务中心                                                                                                                                                                                                    □便民服务站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□入户/现场                                                                                                                                                                                                   </w:t>
            </w:r>
            <w:r>
              <w:rPr>
                <w:rFonts w:hint="default" w:ascii="Times New Roman" w:hAnsi="Times New Roman" w:eastAsia="方正仿宋_GBK" w:cs="Times New Roman"/>
                <w:color w:val="000000"/>
                <w:kern w:val="0"/>
                <w:sz w:val="18"/>
                <w:szCs w:val="18"/>
              </w:rPr>
              <w:sym w:font="Wingdings 2" w:char="0052"/>
            </w:r>
            <w:r>
              <w:rPr>
                <w:rFonts w:hint="default" w:ascii="Times New Roman" w:hAnsi="Times New Roman" w:eastAsia="方正仿宋_GBK" w:cs="Times New Roman"/>
                <w:color w:val="000000"/>
                <w:kern w:val="0"/>
                <w:sz w:val="18"/>
                <w:szCs w:val="18"/>
              </w:rPr>
              <w:t xml:space="preserve">社区/企事业单位/村公示栏（电子屏）                                                                                                                                                                                          □精准推送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□其他</w:t>
            </w:r>
          </w:p>
        </w:tc>
        <w:tc>
          <w:tcPr>
            <w:tcW w:w="666"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w:t>
            </w:r>
          </w:p>
        </w:tc>
        <w:tc>
          <w:tcPr>
            <w:tcW w:w="600"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p>
        </w:tc>
        <w:tc>
          <w:tcPr>
            <w:tcW w:w="587"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w:t>
            </w:r>
          </w:p>
        </w:tc>
        <w:tc>
          <w:tcPr>
            <w:tcW w:w="691"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kern w:val="0"/>
                <w:sz w:val="18"/>
                <w:szCs w:val="18"/>
                <w:lang w:bidi="ar"/>
              </w:rPr>
            </w:pPr>
          </w:p>
        </w:tc>
        <w:tc>
          <w:tcPr>
            <w:tcW w:w="678"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kern w:val="0"/>
                <w:sz w:val="18"/>
                <w:szCs w:val="18"/>
                <w:lang w:bidi="ar"/>
              </w:rPr>
            </w:pPr>
            <w:r>
              <w:rPr>
                <w:rFonts w:hint="default" w:ascii="Times New Roman" w:hAnsi="Times New Roman" w:eastAsia="方正仿宋_GBK" w:cs="Times New Roman"/>
                <w:sz w:val="18"/>
                <w:szCs w:val="18"/>
              </w:rPr>
              <w:t>√</w:t>
            </w:r>
          </w:p>
        </w:tc>
        <w:tc>
          <w:tcPr>
            <w:tcW w:w="644"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kern w:val="0"/>
                <w:sz w:val="18"/>
                <w:szCs w:val="18"/>
                <w:lang w:bidi="ar"/>
              </w:rPr>
            </w:pPr>
            <w:r>
              <w:rPr>
                <w:rFonts w:hint="default" w:ascii="Times New Roman" w:hAnsi="Times New Roman" w:eastAsia="方正仿宋_GBK"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0" w:hRule="atLeast"/>
          <w:jc w:val="center"/>
        </w:trPr>
        <w:tc>
          <w:tcPr>
            <w:tcW w:w="407" w:type="dxa"/>
            <w:noWrap w:val="0"/>
            <w:vAlign w:val="center"/>
          </w:tcPr>
          <w:p>
            <w:pPr>
              <w:pStyle w:val="2"/>
              <w:keepNext w:val="0"/>
              <w:keepLines w:val="0"/>
              <w:pageBreakBefore w:val="0"/>
              <w:widowControl w:val="0"/>
              <w:kinsoku/>
              <w:wordWrap/>
              <w:overflowPunct/>
              <w:topLinePunct w:val="0"/>
              <w:autoSpaceDE/>
              <w:autoSpaceDN/>
              <w:bidi w:val="0"/>
              <w:adjustRightInd w:val="0"/>
              <w:snapToGrid/>
              <w:spacing w:line="200" w:lineRule="exact"/>
              <w:ind w:left="0" w:leftChars="0" w:right="0" w:rightChars="0"/>
              <w:jc w:val="both"/>
              <w:textAlignment w:val="auto"/>
              <w:rPr>
                <w:rFonts w:hint="default" w:ascii="Times New Roman" w:hAnsi="Times New Roman" w:eastAsia="方正仿宋_GBK" w:cs="Times New Roman"/>
                <w:sz w:val="18"/>
                <w:szCs w:val="18"/>
                <w:lang w:val="en-US" w:eastAsia="zh-CN"/>
              </w:rPr>
            </w:pPr>
            <w:r>
              <w:rPr>
                <w:rFonts w:hint="eastAsia" w:ascii="Times New Roman" w:hAnsi="Times New Roman" w:eastAsia="方正仿宋_GBK" w:cs="Times New Roman"/>
                <w:sz w:val="18"/>
                <w:szCs w:val="18"/>
                <w:lang w:val="en-US" w:eastAsia="zh-CN"/>
              </w:rPr>
              <w:t>5</w:t>
            </w:r>
          </w:p>
        </w:tc>
        <w:tc>
          <w:tcPr>
            <w:tcW w:w="665" w:type="dxa"/>
            <w:vMerge w:val="continue"/>
            <w:noWrap w:val="0"/>
            <w:vAlign w:val="center"/>
          </w:tcPr>
          <w:p>
            <w:pPr>
              <w:pStyle w:val="2"/>
              <w:keepNext w:val="0"/>
              <w:keepLines w:val="0"/>
              <w:pageBreakBefore w:val="0"/>
              <w:kinsoku/>
              <w:wordWrap/>
              <w:topLinePunct w:val="0"/>
              <w:autoSpaceDE/>
              <w:autoSpaceDN/>
              <w:bidi w:val="0"/>
              <w:adjustRightInd/>
              <w:spacing w:line="200" w:lineRule="exact"/>
              <w:jc w:val="center"/>
              <w:rPr>
                <w:rFonts w:hint="default" w:ascii="Times New Roman" w:hAnsi="Times New Roman" w:eastAsia="方正仿宋_GBK" w:cs="Times New Roman"/>
                <w:sz w:val="18"/>
                <w:szCs w:val="18"/>
              </w:rPr>
            </w:pPr>
          </w:p>
        </w:tc>
        <w:tc>
          <w:tcPr>
            <w:tcW w:w="1277"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kern w:val="0"/>
                <w:sz w:val="18"/>
                <w:szCs w:val="18"/>
                <w:lang w:bidi="ar"/>
              </w:rPr>
              <w:t>推广法治文化服务</w:t>
            </w:r>
          </w:p>
        </w:tc>
        <w:tc>
          <w:tcPr>
            <w:tcW w:w="1161"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kern w:val="0"/>
                <w:sz w:val="18"/>
                <w:szCs w:val="18"/>
                <w:lang w:bidi="ar"/>
              </w:rPr>
              <w:t>辖区内法治文化阵地信息，法治文化作品、产品</w:t>
            </w:r>
          </w:p>
        </w:tc>
        <w:tc>
          <w:tcPr>
            <w:tcW w:w="2804" w:type="dxa"/>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line="180" w:lineRule="exact"/>
              <w:textAlignment w:val="center"/>
              <w:rPr>
                <w:rFonts w:hint="default" w:ascii="Times New Roman" w:hAnsi="Times New Roman" w:eastAsia="方正仿宋_GBK" w:cs="Times New Roman"/>
                <w:kern w:val="0"/>
                <w:sz w:val="18"/>
                <w:szCs w:val="18"/>
                <w:lang w:bidi="ar"/>
              </w:rPr>
            </w:pPr>
            <w:r>
              <w:rPr>
                <w:rFonts w:hint="default" w:ascii="Times New Roman" w:hAnsi="Times New Roman" w:eastAsia="方正仿宋_GBK" w:cs="Times New Roman"/>
                <w:kern w:val="0"/>
                <w:sz w:val="18"/>
                <w:szCs w:val="18"/>
                <w:lang w:val="en-US" w:eastAsia="zh-CN" w:bidi="ar"/>
              </w:rPr>
              <w:t>1.</w:t>
            </w:r>
            <w:r>
              <w:rPr>
                <w:rFonts w:hint="default" w:ascii="Times New Roman" w:hAnsi="Times New Roman" w:eastAsia="方正仿宋_GBK" w:cs="Times New Roman"/>
                <w:kern w:val="0"/>
                <w:sz w:val="18"/>
                <w:szCs w:val="18"/>
                <w:lang w:bidi="ar"/>
              </w:rPr>
              <w:t>《中华人民共和国政府信息公开条例》</w:t>
            </w:r>
          </w:p>
          <w:p>
            <w:pPr>
              <w:keepNext w:val="0"/>
              <w:keepLines w:val="0"/>
              <w:pageBreakBefore w:val="0"/>
              <w:widowControl/>
              <w:numPr>
                <w:ilvl w:val="0"/>
                <w:numId w:val="0"/>
              </w:numPr>
              <w:kinsoku/>
              <w:wordWrap/>
              <w:overflowPunct/>
              <w:topLinePunct w:val="0"/>
              <w:autoSpaceDE/>
              <w:autoSpaceDN/>
              <w:bidi w:val="0"/>
              <w:adjustRightInd/>
              <w:snapToGrid/>
              <w:spacing w:line="180" w:lineRule="exact"/>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kern w:val="0"/>
                <w:sz w:val="18"/>
                <w:szCs w:val="18"/>
                <w:lang w:val="en-US" w:eastAsia="zh-CN" w:bidi="ar"/>
              </w:rPr>
              <w:t>2.</w:t>
            </w:r>
            <w:r>
              <w:rPr>
                <w:rFonts w:hint="default" w:ascii="Times New Roman" w:hAnsi="Times New Roman" w:eastAsia="方正仿宋_GBK" w:cs="Times New Roman"/>
                <w:kern w:val="0"/>
                <w:sz w:val="18"/>
                <w:szCs w:val="18"/>
                <w:lang w:bidi="ar"/>
              </w:rPr>
              <w:t>《中共中央、国务院转发〈中央宣传部、司法部关于在公民中开展法治宣传教育的第七个五年规划（2016－2020年）〉的通知》</w:t>
            </w:r>
          </w:p>
          <w:p>
            <w:pPr>
              <w:keepNext w:val="0"/>
              <w:keepLines w:val="0"/>
              <w:pageBreakBefore w:val="0"/>
              <w:widowControl/>
              <w:numPr>
                <w:ilvl w:val="0"/>
                <w:numId w:val="0"/>
              </w:numPr>
              <w:kinsoku/>
              <w:wordWrap/>
              <w:overflowPunct/>
              <w:topLinePunct w:val="0"/>
              <w:autoSpaceDE/>
              <w:autoSpaceDN/>
              <w:bidi w:val="0"/>
              <w:adjustRightInd/>
              <w:snapToGrid/>
              <w:spacing w:line="180" w:lineRule="exact"/>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kern w:val="0"/>
                <w:sz w:val="18"/>
                <w:szCs w:val="18"/>
                <w:lang w:val="en-US" w:eastAsia="zh-CN" w:bidi="ar"/>
              </w:rPr>
              <w:t>3.</w:t>
            </w:r>
            <w:r>
              <w:rPr>
                <w:rFonts w:hint="default" w:ascii="Times New Roman" w:hAnsi="Times New Roman" w:eastAsia="方正仿宋_GBK" w:cs="Times New Roman"/>
                <w:kern w:val="0"/>
                <w:sz w:val="18"/>
                <w:szCs w:val="18"/>
                <w:lang w:bidi="ar"/>
              </w:rPr>
              <w:t>《中共重庆市委 重庆市人民政府转发〈中共重庆市委宣传部、重庆市司法局关于在全市公民中开展法治宣传教育的第七个五年规划（2016--2020年）〉的通知》</w:t>
            </w:r>
          </w:p>
        </w:tc>
        <w:tc>
          <w:tcPr>
            <w:tcW w:w="861"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kern w:val="0"/>
                <w:sz w:val="18"/>
                <w:szCs w:val="18"/>
                <w:lang w:bidi="ar"/>
              </w:rPr>
              <w:t>制作或获取信息之日起20</w:t>
            </w:r>
            <w:r>
              <w:rPr>
                <w:rFonts w:hint="default" w:ascii="Times New Roman" w:hAnsi="Times New Roman" w:eastAsia="方正仿宋_GBK" w:cs="Times New Roman"/>
                <w:w w:val="95"/>
                <w:kern w:val="0"/>
                <w:sz w:val="18"/>
                <w:szCs w:val="18"/>
                <w:lang w:bidi="ar"/>
              </w:rPr>
              <w:t>个工作日内</w:t>
            </w:r>
          </w:p>
        </w:tc>
        <w:tc>
          <w:tcPr>
            <w:tcW w:w="848"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kern w:val="0"/>
                <w:sz w:val="18"/>
                <w:szCs w:val="18"/>
                <w:lang w:bidi="ar"/>
              </w:rPr>
              <w:t>区县司法局、</w:t>
            </w:r>
            <w:r>
              <w:rPr>
                <w:rFonts w:hint="eastAsia" w:ascii="Times New Roman" w:hAnsi="Times New Roman" w:eastAsia="方正仿宋_GBK" w:cs="Times New Roman"/>
                <w:kern w:val="0"/>
                <w:sz w:val="18"/>
                <w:szCs w:val="18"/>
                <w:lang w:val="en-US" w:eastAsia="zh-CN" w:bidi="ar"/>
              </w:rPr>
              <w:t>金洞乡人民政府</w:t>
            </w:r>
          </w:p>
        </w:tc>
        <w:tc>
          <w:tcPr>
            <w:tcW w:w="3195" w:type="dxa"/>
            <w:noWrap w:val="0"/>
            <w:vAlign w:val="center"/>
          </w:tcPr>
          <w:p>
            <w:pPr>
              <w:keepNext w:val="0"/>
              <w:keepLines w:val="0"/>
              <w:pageBreakBefore w:val="0"/>
              <w:kinsoku/>
              <w:wordWrap/>
              <w:overflowPunct w:val="0"/>
              <w:topLinePunct w:val="0"/>
              <w:autoSpaceDE/>
              <w:autoSpaceDN/>
              <w:bidi w:val="0"/>
              <w:adjustRightInd/>
              <w:snapToGrid w:val="0"/>
              <w:spacing w:line="200" w:lineRule="exact"/>
              <w:jc w:val="left"/>
              <w:rPr>
                <w:rFonts w:hint="default" w:ascii="Times New Roman" w:hAnsi="Times New Roman" w:eastAsia="方正仿宋_GBK" w:cs="Times New Roman"/>
                <w:sz w:val="18"/>
                <w:szCs w:val="18"/>
              </w:rPr>
            </w:pPr>
            <w:r>
              <w:rPr>
                <w:rFonts w:hint="default" w:ascii="Times New Roman" w:hAnsi="Times New Roman" w:eastAsia="方正仿宋_GBK" w:cs="Times New Roman"/>
                <w:color w:val="000000"/>
                <w:kern w:val="0"/>
                <w:sz w:val="18"/>
                <w:szCs w:val="18"/>
              </w:rPr>
              <w:sym w:font="Wingdings 2" w:char="0052"/>
            </w:r>
            <w:r>
              <w:rPr>
                <w:rFonts w:hint="default" w:ascii="Times New Roman" w:hAnsi="Times New Roman" w:eastAsia="方正仿宋_GBK" w:cs="Times New Roman"/>
                <w:color w:val="000000"/>
                <w:kern w:val="0"/>
                <w:sz w:val="18"/>
                <w:szCs w:val="18"/>
              </w:rPr>
              <w:t xml:space="preserve">政府网站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□政府公报                                                                                                                                                                                                                □两微一端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□发布会/听证会                                                                                                                                                                                              □广播电视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□纸质媒体                                                                                                                                                                                                   </w:t>
            </w:r>
            <w:r>
              <w:rPr>
                <w:rFonts w:hint="default" w:ascii="Times New Roman" w:hAnsi="Times New Roman" w:eastAsia="方正仿宋_GBK" w:cs="Times New Roman"/>
                <w:color w:val="000000"/>
                <w:kern w:val="0"/>
                <w:sz w:val="18"/>
                <w:szCs w:val="18"/>
              </w:rPr>
              <w:sym w:font="Wingdings 2" w:char="0052"/>
            </w:r>
            <w:r>
              <w:rPr>
                <w:rFonts w:hint="default" w:ascii="Times New Roman" w:hAnsi="Times New Roman" w:eastAsia="方正仿宋_GBK" w:cs="Times New Roman"/>
                <w:color w:val="000000"/>
                <w:kern w:val="0"/>
                <w:sz w:val="18"/>
                <w:szCs w:val="18"/>
              </w:rPr>
              <w:t xml:space="preserve">公开查阅点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w:t>
            </w:r>
            <w:r>
              <w:rPr>
                <w:rFonts w:hint="default" w:ascii="Times New Roman" w:hAnsi="Times New Roman" w:eastAsia="方正仿宋_GBK" w:cs="Times New Roman"/>
                <w:color w:val="000000"/>
                <w:kern w:val="0"/>
                <w:sz w:val="18"/>
                <w:szCs w:val="18"/>
              </w:rPr>
              <w:sym w:font="Wingdings 2" w:char="0052"/>
            </w:r>
            <w:r>
              <w:rPr>
                <w:rFonts w:hint="default" w:ascii="Times New Roman" w:hAnsi="Times New Roman" w:eastAsia="方正仿宋_GBK" w:cs="Times New Roman"/>
                <w:color w:val="000000"/>
                <w:kern w:val="0"/>
                <w:sz w:val="18"/>
                <w:szCs w:val="18"/>
              </w:rPr>
              <w:t xml:space="preserve">政务服务中心                                                                                                                                                                                                    □便民服务站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□入户/现场                                                                                                                                                                                                   </w:t>
            </w:r>
            <w:r>
              <w:rPr>
                <w:rFonts w:hint="default" w:ascii="Times New Roman" w:hAnsi="Times New Roman" w:eastAsia="方正仿宋_GBK" w:cs="Times New Roman"/>
                <w:color w:val="000000"/>
                <w:kern w:val="0"/>
                <w:sz w:val="18"/>
                <w:szCs w:val="18"/>
              </w:rPr>
              <w:sym w:font="Wingdings 2" w:char="0052"/>
            </w:r>
            <w:r>
              <w:rPr>
                <w:rFonts w:hint="default" w:ascii="Times New Roman" w:hAnsi="Times New Roman" w:eastAsia="方正仿宋_GBK" w:cs="Times New Roman"/>
                <w:color w:val="000000"/>
                <w:kern w:val="0"/>
                <w:sz w:val="18"/>
                <w:szCs w:val="18"/>
              </w:rPr>
              <w:t xml:space="preserve">社区/企事业单位/村公示栏（电子屏）                                                                                                                                                                                          □精准推送   </w:t>
            </w:r>
            <w:r>
              <w:rPr>
                <w:rFonts w:hint="default" w:ascii="Times New Roman" w:hAnsi="Times New Roman" w:eastAsia="方正仿宋_GBK" w:cs="Times New Roman"/>
                <w:color w:val="000000"/>
                <w:kern w:val="0"/>
                <w:sz w:val="18"/>
                <w:szCs w:val="18"/>
                <w:lang w:val="en-US" w:eastAsia="zh-CN"/>
              </w:rPr>
              <w:t xml:space="preserve"> </w:t>
            </w:r>
            <w:r>
              <w:rPr>
                <w:rFonts w:hint="default" w:ascii="Times New Roman" w:hAnsi="Times New Roman" w:eastAsia="方正仿宋_GBK" w:cs="Times New Roman"/>
                <w:color w:val="000000"/>
                <w:kern w:val="0"/>
                <w:sz w:val="18"/>
                <w:szCs w:val="18"/>
              </w:rPr>
              <w:t xml:space="preserve"> □其他</w:t>
            </w:r>
          </w:p>
        </w:tc>
        <w:tc>
          <w:tcPr>
            <w:tcW w:w="666"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w:t>
            </w:r>
          </w:p>
        </w:tc>
        <w:tc>
          <w:tcPr>
            <w:tcW w:w="600"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p>
        </w:tc>
        <w:tc>
          <w:tcPr>
            <w:tcW w:w="587"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w:t>
            </w:r>
          </w:p>
        </w:tc>
        <w:tc>
          <w:tcPr>
            <w:tcW w:w="691"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kern w:val="0"/>
                <w:sz w:val="18"/>
                <w:szCs w:val="18"/>
                <w:lang w:bidi="ar"/>
              </w:rPr>
            </w:pPr>
          </w:p>
        </w:tc>
        <w:tc>
          <w:tcPr>
            <w:tcW w:w="678"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kern w:val="0"/>
                <w:sz w:val="18"/>
                <w:szCs w:val="18"/>
                <w:lang w:bidi="ar"/>
              </w:rPr>
            </w:pPr>
            <w:r>
              <w:rPr>
                <w:rFonts w:hint="default" w:ascii="Times New Roman" w:hAnsi="Times New Roman" w:eastAsia="方正仿宋_GBK" w:cs="Times New Roman"/>
                <w:sz w:val="18"/>
                <w:szCs w:val="18"/>
              </w:rPr>
              <w:t>√</w:t>
            </w:r>
          </w:p>
        </w:tc>
        <w:tc>
          <w:tcPr>
            <w:tcW w:w="644" w:type="dxa"/>
            <w:noWrap w:val="0"/>
            <w:vAlign w:val="center"/>
          </w:tcPr>
          <w:p>
            <w:pPr>
              <w:keepNext w:val="0"/>
              <w:keepLines w:val="0"/>
              <w:pageBreakBefore w:val="0"/>
              <w:widowControl/>
              <w:kinsoku/>
              <w:wordWrap/>
              <w:topLinePunct w:val="0"/>
              <w:autoSpaceDE/>
              <w:autoSpaceDN/>
              <w:bidi w:val="0"/>
              <w:adjustRightInd/>
              <w:spacing w:line="200" w:lineRule="exact"/>
              <w:jc w:val="center"/>
              <w:textAlignment w:val="center"/>
              <w:rPr>
                <w:rFonts w:hint="default" w:ascii="Times New Roman" w:hAnsi="Times New Roman" w:eastAsia="方正仿宋_GBK" w:cs="Times New Roman"/>
                <w:kern w:val="0"/>
                <w:sz w:val="18"/>
                <w:szCs w:val="18"/>
                <w:lang w:bidi="ar"/>
              </w:rPr>
            </w:pPr>
            <w:r>
              <w:rPr>
                <w:rFonts w:hint="default" w:ascii="Times New Roman" w:hAnsi="Times New Roman" w:eastAsia="方正仿宋_GBK" w:cs="Times New Roman"/>
                <w:sz w:val="18"/>
                <w:szCs w:val="18"/>
              </w:rPr>
              <w:t>√</w:t>
            </w:r>
          </w:p>
        </w:tc>
      </w:tr>
    </w:tbl>
    <w:p>
      <w:pPr>
        <w:rPr>
          <w:rFonts w:ascii="Times New Roman" w:hAnsi="Times New Roman" w:eastAsia="方正仿宋_GBK" w:cs="Times New Roman"/>
          <w:sz w:val="32"/>
          <w:szCs w:val="32"/>
        </w:rPr>
      </w:pPr>
    </w:p>
    <w:sectPr>
      <w:headerReference r:id="rId3" w:type="default"/>
      <w:footerReference r:id="rId4" w:type="default"/>
      <w:pgSz w:w="16838" w:h="11906" w:orient="landscape"/>
      <w:pgMar w:top="1134" w:right="1134" w:bottom="1134" w:left="1134" w:header="851" w:footer="992" w:gutter="0"/>
      <w:cols w:space="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Helvetica">
    <w:altName w:val="FreeSans"/>
    <w:panose1 w:val="020B0504020202030204"/>
    <w:charset w:val="00"/>
    <w:family w:val="swiss"/>
    <w:pitch w:val="default"/>
    <w:sig w:usb0="00000000" w:usb1="00000000" w:usb2="00000000" w:usb3="00000000" w:csb0="00000093" w:csb1="00000000"/>
  </w:font>
  <w:font w:name="Noto Sans Mono CJK JP Regular">
    <w:altName w:val="DejaVu Math TeX Gyre"/>
    <w:panose1 w:val="00000000000000000000"/>
    <w:charset w:val="00"/>
    <w:family w:val="swiss"/>
    <w:pitch w:val="default"/>
    <w:sig w:usb0="00000000" w:usb1="00000000" w:usb2="00000000" w:usb3="00000000" w:csb0="00000001" w:csb1="00000000"/>
  </w:font>
  <w:font w:name="等线">
    <w:altName w:val="汉仪中宋简"/>
    <w:panose1 w:val="02010600030101010101"/>
    <w:charset w:val="86"/>
    <w:family w:val="auto"/>
    <w:pitch w:val="default"/>
    <w:sig w:usb0="00000000" w:usb1="00000000" w:usb2="00000016" w:usb3="00000000" w:csb0="0004000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ans">
    <w:panose1 w:val="020B0504020202020204"/>
    <w:charset w:val="00"/>
    <w:family w:val="auto"/>
    <w:pitch w:val="default"/>
    <w:sig w:usb0="E4839EFF" w:usb1="4600FDFF" w:usb2="000030A0" w:usb3="00000584" w:csb0="600001BF" w:csb1="DFF70000"/>
  </w:font>
  <w:font w:name="DejaVu Math TeX Gyre">
    <w:panose1 w:val="02000503000000000000"/>
    <w:charset w:val="00"/>
    <w:family w:val="auto"/>
    <w:pitch w:val="default"/>
    <w:sig w:usb0="A10000EF" w:usb1="4201F9EE" w:usb2="02000000" w:usb3="00000000" w:csb0="60000193" w:csb1="0DD4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24765</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5"/>
                            <w:ind w:left="210" w:leftChars="100" w:right="210" w:rightChars="100"/>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1.95pt;height:144pt;width:144pt;mso-position-horizontal:outside;mso-position-horizontal-relative:margin;mso-wrap-style:none;z-index:251667456;mso-width-relative:page;mso-height-relative:page;" filled="f" stroked="f" coordsize="21600,21600" o:gfxdata="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FgAAAGRycy9Q&#10;SwECFAAUAAAACACHTuJAGJv7vNQAAAAGAQAADwAAAAAAAAABACAAAAA4AAAAZHJzL2Rvd25yZXYu&#10;eG1sUEsBAhQAFAAAAAgAh07iQDKHu5giAgAANwQAAA4AAAAAAAAAAQAgAAAAOQEAAGRycy9lMm9E&#10;b2MueG1sUEsFBgAAAAAGAAYAWQEAAM0FAAAAAA==&#10;">
              <v:fill on="f" focussize="0,0"/>
              <v:stroke on="f" weight="0.5pt"/>
              <v:imagedata o:title=""/>
              <o:lock v:ext="edit" aspectratio="f"/>
              <v:textbox inset="0mm,0mm,0mm,0mm" style="mso-fit-shape-to-text:t;">
                <w:txbxContent>
                  <w:p>
                    <w:pPr>
                      <w:pStyle w:val="5"/>
                      <w:ind w:left="210" w:leftChars="100" w:right="210" w:rightChars="100"/>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true"/>
  <w:bordersDoNotSurroundFooter w:val="true"/>
  <w:documentProtection w:enforcement="0"/>
  <w:defaultTabStop w:val="420"/>
  <w:drawingGridVerticalSpacing w:val="158"/>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E77392"/>
    <w:rsid w:val="00227B44"/>
    <w:rsid w:val="00530A5A"/>
    <w:rsid w:val="00DD437E"/>
    <w:rsid w:val="00FD0370"/>
    <w:rsid w:val="020767B8"/>
    <w:rsid w:val="03E809C2"/>
    <w:rsid w:val="053742F8"/>
    <w:rsid w:val="06DA37D1"/>
    <w:rsid w:val="06F0052A"/>
    <w:rsid w:val="07736519"/>
    <w:rsid w:val="083A4306"/>
    <w:rsid w:val="097266A2"/>
    <w:rsid w:val="0A9E5A6C"/>
    <w:rsid w:val="0AEE5200"/>
    <w:rsid w:val="0F390FB9"/>
    <w:rsid w:val="106C46C1"/>
    <w:rsid w:val="11EB4492"/>
    <w:rsid w:val="13221F92"/>
    <w:rsid w:val="138243DE"/>
    <w:rsid w:val="140C7290"/>
    <w:rsid w:val="140D49B0"/>
    <w:rsid w:val="188622CF"/>
    <w:rsid w:val="19BF1790"/>
    <w:rsid w:val="19C14A13"/>
    <w:rsid w:val="1BFB5968"/>
    <w:rsid w:val="1CEF0E4D"/>
    <w:rsid w:val="1D1204CA"/>
    <w:rsid w:val="1DA24AB7"/>
    <w:rsid w:val="1DCE0D9F"/>
    <w:rsid w:val="1E3A6952"/>
    <w:rsid w:val="1E567A46"/>
    <w:rsid w:val="22905CC1"/>
    <w:rsid w:val="22BF3543"/>
    <w:rsid w:val="23A8177D"/>
    <w:rsid w:val="24A3296B"/>
    <w:rsid w:val="28086B08"/>
    <w:rsid w:val="28EF64BB"/>
    <w:rsid w:val="29D71D48"/>
    <w:rsid w:val="2F505D57"/>
    <w:rsid w:val="3032109F"/>
    <w:rsid w:val="30F639D2"/>
    <w:rsid w:val="318B1096"/>
    <w:rsid w:val="32C43FF6"/>
    <w:rsid w:val="32C748E8"/>
    <w:rsid w:val="32E032B5"/>
    <w:rsid w:val="34740D8F"/>
    <w:rsid w:val="348C3D26"/>
    <w:rsid w:val="34B84027"/>
    <w:rsid w:val="35204CB8"/>
    <w:rsid w:val="36AF7C0B"/>
    <w:rsid w:val="38220BF6"/>
    <w:rsid w:val="3D843A12"/>
    <w:rsid w:val="3DBE6853"/>
    <w:rsid w:val="3FBA12C7"/>
    <w:rsid w:val="41127FD8"/>
    <w:rsid w:val="416A2105"/>
    <w:rsid w:val="4427650B"/>
    <w:rsid w:val="474F4CCA"/>
    <w:rsid w:val="47F114F2"/>
    <w:rsid w:val="480B4B68"/>
    <w:rsid w:val="4963168D"/>
    <w:rsid w:val="49C816C4"/>
    <w:rsid w:val="4A672825"/>
    <w:rsid w:val="4AC47B25"/>
    <w:rsid w:val="52354C1D"/>
    <w:rsid w:val="536C3FF1"/>
    <w:rsid w:val="544A31CA"/>
    <w:rsid w:val="54B22F77"/>
    <w:rsid w:val="580C07C0"/>
    <w:rsid w:val="58E653A2"/>
    <w:rsid w:val="5B100E77"/>
    <w:rsid w:val="5CB21547"/>
    <w:rsid w:val="5DBF40E0"/>
    <w:rsid w:val="5EAA7DC6"/>
    <w:rsid w:val="5EF56028"/>
    <w:rsid w:val="616D6038"/>
    <w:rsid w:val="65A90373"/>
    <w:rsid w:val="67D2434B"/>
    <w:rsid w:val="6B1B7B0F"/>
    <w:rsid w:val="6C4D719D"/>
    <w:rsid w:val="6D601B7B"/>
    <w:rsid w:val="6DBE38FF"/>
    <w:rsid w:val="6FA47997"/>
    <w:rsid w:val="707571EC"/>
    <w:rsid w:val="71B33385"/>
    <w:rsid w:val="71E77392"/>
    <w:rsid w:val="75D37155"/>
    <w:rsid w:val="76156136"/>
    <w:rsid w:val="77154073"/>
    <w:rsid w:val="77585E04"/>
    <w:rsid w:val="79AC7F4F"/>
    <w:rsid w:val="79F16FEA"/>
    <w:rsid w:val="7B1F0256"/>
    <w:rsid w:val="7BAD364C"/>
    <w:rsid w:val="7CEE4B2A"/>
    <w:rsid w:val="7D2D0CC1"/>
    <w:rsid w:val="7D554062"/>
    <w:rsid w:val="7DAC230B"/>
    <w:rsid w:val="7FD76F59"/>
    <w:rsid w:val="7FEC2F11"/>
    <w:rsid w:val="7FF606C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99"/>
    <w:pPr>
      <w:ind w:left="100" w:leftChars="100" w:right="100" w:rightChars="100"/>
    </w:pPr>
    <w:rPr>
      <w:rFonts w:eastAsia="宋体" w:cs="Times New Roman"/>
    </w:rPr>
  </w:style>
  <w:style w:type="paragraph" w:customStyle="1" w:styleId="3">
    <w:name w:val="默认"/>
    <w:qFormat/>
    <w:uiPriority w:val="0"/>
    <w:rPr>
      <w:rFonts w:ascii="Helvetica" w:hAnsi="Helvetica" w:eastAsia="Helvetica" w:cs="Helvetica"/>
      <w:color w:val="000000"/>
      <w:sz w:val="22"/>
      <w:szCs w:val="22"/>
      <w:lang w:val="en-US" w:eastAsia="zh-CN"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tabs>
        <w:tab w:val="center" w:pos="4153"/>
        <w:tab w:val="right" w:pos="8306"/>
      </w:tabs>
      <w:snapToGrid w:val="0"/>
      <w:jc w:val="center"/>
    </w:pPr>
    <w:rPr>
      <w:sz w:val="18"/>
    </w:rPr>
  </w:style>
  <w:style w:type="paragraph" w:styleId="7">
    <w:name w:val="toc 1"/>
    <w:basedOn w:val="1"/>
    <w:next w:val="1"/>
    <w:semiHidden/>
    <w:qFormat/>
    <w:uiPriority w:val="0"/>
    <w:pPr>
      <w:tabs>
        <w:tab w:val="right" w:leader="dot" w:pos="14760"/>
      </w:tabs>
      <w:spacing w:line="700" w:lineRule="exact"/>
      <w:ind w:left="359" w:leftChars="171" w:right="332" w:rightChars="158"/>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styleId="12">
    <w:name w:val="FollowedHyperlink"/>
    <w:basedOn w:val="10"/>
    <w:qFormat/>
    <w:uiPriority w:val="0"/>
    <w:rPr>
      <w:color w:val="800080"/>
      <w:u w:val="single"/>
    </w:rPr>
  </w:style>
  <w:style w:type="character" w:styleId="13">
    <w:name w:val="Emphasis"/>
    <w:qFormat/>
    <w:uiPriority w:val="0"/>
    <w:rPr>
      <w:i/>
      <w:iCs/>
    </w:rPr>
  </w:style>
  <w:style w:type="character" w:styleId="14">
    <w:name w:val="Hyperlink"/>
    <w:basedOn w:val="10"/>
    <w:qFormat/>
    <w:uiPriority w:val="0"/>
    <w:rPr>
      <w:color w:val="0000FF"/>
      <w:u w:val="single"/>
    </w:rPr>
  </w:style>
  <w:style w:type="paragraph" w:customStyle="1" w:styleId="15">
    <w:name w:val="Char"/>
    <w:basedOn w:val="1"/>
    <w:semiHidden/>
    <w:qFormat/>
    <w:uiPriority w:val="0"/>
    <w:rPr>
      <w:rFonts w:eastAsia="宋体"/>
    </w:rPr>
  </w:style>
  <w:style w:type="paragraph" w:customStyle="1" w:styleId="16">
    <w:name w:val="WPSOffice手动目录 1"/>
    <w:qFormat/>
    <w:uiPriority w:val="0"/>
    <w:rPr>
      <w:rFonts w:ascii="Times New Roman" w:hAnsi="Times New Roman" w:eastAsia="宋体" w:cs="Times New Roman"/>
      <w:lang w:val="en-US" w:eastAsia="zh-CN" w:bidi="ar-SA"/>
    </w:rPr>
  </w:style>
  <w:style w:type="paragraph" w:customStyle="1" w:styleId="17">
    <w:name w:val="Table Paragraph"/>
    <w:basedOn w:val="1"/>
    <w:qFormat/>
    <w:uiPriority w:val="99"/>
    <w:pPr>
      <w:autoSpaceDE w:val="0"/>
      <w:autoSpaceDN w:val="0"/>
      <w:jc w:val="left"/>
    </w:pPr>
    <w:rPr>
      <w:rFonts w:ascii="Noto Sans Mono CJK JP Regular" w:hAnsi="Noto Sans Mono CJK JP Regular" w:eastAsia="等线" w:cs="Noto Sans Mono CJK JP Regular"/>
      <w:sz w:val="22"/>
      <w:szCs w:val="22"/>
      <w:lang w:eastAsia="en-US"/>
    </w:rPr>
  </w:style>
  <w:style w:type="character" w:customStyle="1" w:styleId="18">
    <w:name w:val="font11"/>
    <w:basedOn w:val="10"/>
    <w:qFormat/>
    <w:uiPriority w:val="0"/>
    <w:rPr>
      <w:rFonts w:hint="eastAsia" w:ascii="宋体" w:hAnsi="宋体" w:eastAsia="宋体" w:cs="宋体"/>
      <w:color w:val="000000"/>
      <w:sz w:val="22"/>
      <w:szCs w:val="22"/>
      <w:u w:val="none"/>
    </w:rPr>
  </w:style>
  <w:style w:type="character" w:customStyle="1" w:styleId="19">
    <w:name w:val="font31"/>
    <w:basedOn w:val="10"/>
    <w:qFormat/>
    <w:uiPriority w:val="0"/>
    <w:rPr>
      <w:rFonts w:hint="eastAsia" w:ascii="宋体" w:hAnsi="宋体" w:eastAsia="宋体" w:cs="宋体"/>
      <w:color w:val="000000"/>
      <w:sz w:val="18"/>
      <w:szCs w:val="18"/>
      <w:u w:val="none"/>
    </w:rPr>
  </w:style>
  <w:style w:type="character" w:customStyle="1" w:styleId="20">
    <w:name w:val="font71"/>
    <w:basedOn w:val="10"/>
    <w:qFormat/>
    <w:uiPriority w:val="0"/>
    <w:rPr>
      <w:rFonts w:ascii="方正仿宋_GBK" w:hAnsi="方正仿宋_GBK" w:eastAsia="方正仿宋_GBK" w:cs="方正仿宋_GBK"/>
      <w:color w:val="000000"/>
      <w:sz w:val="18"/>
      <w:szCs w:val="18"/>
      <w:u w:val="none"/>
    </w:rPr>
  </w:style>
  <w:style w:type="character" w:customStyle="1" w:styleId="21">
    <w:name w:val="font41"/>
    <w:basedOn w:val="10"/>
    <w:qFormat/>
    <w:uiPriority w:val="0"/>
    <w:rPr>
      <w:rFonts w:hint="default" w:ascii="Times New Roman" w:hAnsi="Times New Roman" w:cs="Times New Roman"/>
      <w:color w:val="000000"/>
      <w:sz w:val="18"/>
      <w:szCs w:val="18"/>
      <w:u w:val="none"/>
    </w:rPr>
  </w:style>
  <w:style w:type="character" w:customStyle="1" w:styleId="22">
    <w:name w:val="font81"/>
    <w:basedOn w:val="10"/>
    <w:qFormat/>
    <w:uiPriority w:val="0"/>
    <w:rPr>
      <w:rFonts w:hint="eastAsia" w:ascii="方正仿宋_GBK" w:hAnsi="方正仿宋_GBK" w:eastAsia="方正仿宋_GBK" w:cs="方正仿宋_GBK"/>
      <w:color w:val="000000"/>
      <w:sz w:val="18"/>
      <w:szCs w:val="18"/>
      <w:u w:val="none"/>
    </w:rPr>
  </w:style>
  <w:style w:type="character" w:customStyle="1" w:styleId="23">
    <w:name w:val="font91"/>
    <w:basedOn w:val="10"/>
    <w:qFormat/>
    <w:uiPriority w:val="0"/>
    <w:rPr>
      <w:rFonts w:hint="eastAsia" w:ascii="方正仿宋_GBK" w:hAnsi="方正仿宋_GBK" w:eastAsia="方正仿宋_GBK" w:cs="方正仿宋_GBK"/>
      <w:color w:val="000000"/>
      <w:sz w:val="18"/>
      <w:szCs w:val="18"/>
      <w:u w:val="none"/>
    </w:rPr>
  </w:style>
  <w:style w:type="character" w:customStyle="1" w:styleId="24">
    <w:name w:val="font51"/>
    <w:basedOn w:val="10"/>
    <w:qFormat/>
    <w:uiPriority w:val="0"/>
    <w:rPr>
      <w:rFonts w:hint="default" w:ascii="Times New Roman" w:hAnsi="Times New Roman" w:cs="Times New Roman"/>
      <w:color w:val="000000"/>
      <w:sz w:val="18"/>
      <w:szCs w:val="18"/>
      <w:u w:val="none"/>
    </w:rPr>
  </w:style>
  <w:style w:type="character" w:customStyle="1" w:styleId="25">
    <w:name w:val="font61"/>
    <w:basedOn w:val="10"/>
    <w:qFormat/>
    <w:uiPriority w:val="0"/>
    <w:rPr>
      <w:rFonts w:hint="eastAsia" w:ascii="宋体" w:hAnsi="宋体" w:eastAsia="宋体" w:cs="宋体"/>
      <w:color w:val="000000"/>
      <w:sz w:val="18"/>
      <w:szCs w:val="18"/>
      <w:u w:val="none"/>
    </w:rPr>
  </w:style>
  <w:style w:type="character" w:customStyle="1" w:styleId="26">
    <w:name w:val="font21"/>
    <w:basedOn w:val="10"/>
    <w:qFormat/>
    <w:uiPriority w:val="0"/>
    <w:rPr>
      <w:rFonts w:hint="eastAsia" w:ascii="宋体" w:hAnsi="宋体" w:eastAsia="宋体" w:cs="宋体"/>
      <w:color w:val="000000"/>
      <w:sz w:val="18"/>
      <w:szCs w:val="18"/>
      <w:u w:val="single"/>
    </w:rPr>
  </w:style>
  <w:style w:type="character" w:customStyle="1" w:styleId="27">
    <w:name w:val="font12"/>
    <w:basedOn w:val="10"/>
    <w:qFormat/>
    <w:uiPriority w:val="0"/>
    <w:rPr>
      <w:rFonts w:hint="eastAsia" w:ascii="宋体" w:hAnsi="宋体" w:eastAsia="宋体" w:cs="宋体"/>
      <w:color w:val="FF0000"/>
      <w:sz w:val="18"/>
      <w:szCs w:val="18"/>
      <w:u w:val="single"/>
    </w:rPr>
  </w:style>
  <w:style w:type="paragraph" w:customStyle="1" w:styleId="28">
    <w:name w:val="_Style 4"/>
    <w:basedOn w:val="1"/>
    <w:qFormat/>
    <w:uiPriority w:val="0"/>
    <w:pPr>
      <w:ind w:firstLine="420" w:firstLineChars="200"/>
    </w:pPr>
    <w:rPr>
      <w:rFonts w:ascii="等线" w:hAnsi="等线" w:eastAsia="等线" w:cs="Times New Roman"/>
      <w:sz w:val="32"/>
    </w:rPr>
  </w:style>
  <w:style w:type="paragraph" w:customStyle="1" w:styleId="29">
    <w:name w:val="_Style 2"/>
    <w:basedOn w:val="1"/>
    <w:qFormat/>
    <w:uiPriority w:val="0"/>
    <w:pPr>
      <w:ind w:firstLine="420" w:firstLineChars="200"/>
    </w:pPr>
    <w:rPr>
      <w:rFonts w:ascii="等线" w:hAnsi="等线" w:eastAsia="等线" w:cs="Times New Roman"/>
      <w:sz w:val="32"/>
    </w:rPr>
  </w:style>
  <w:style w:type="paragraph" w:customStyle="1" w:styleId="30">
    <w:name w:val="列出段落2"/>
    <w:basedOn w:val="1"/>
    <w:qFormat/>
    <w:uiPriority w:val="0"/>
    <w:pPr>
      <w:ind w:firstLine="420" w:firstLineChars="200"/>
    </w:pPr>
    <w:rPr>
      <w:rFonts w:ascii="等线" w:hAnsi="等线" w:eastAsia="等线" w:cs="Times New Roman"/>
      <w:sz w:val="32"/>
    </w:rPr>
  </w:style>
  <w:style w:type="character" w:customStyle="1" w:styleId="31">
    <w:name w:val="font121"/>
    <w:basedOn w:val="10"/>
    <w:qFormat/>
    <w:uiPriority w:val="0"/>
    <w:rPr>
      <w:rFonts w:hint="eastAsia" w:ascii="方正仿宋_GBK" w:hAnsi="方正仿宋_GBK" w:eastAsia="方正仿宋_GBK" w:cs="方正仿宋_GBK"/>
      <w:color w:val="000000"/>
      <w:sz w:val="24"/>
      <w:szCs w:val="24"/>
      <w:u w:val="single"/>
    </w:rPr>
  </w:style>
  <w:style w:type="character" w:customStyle="1" w:styleId="32">
    <w:name w:val="font101"/>
    <w:basedOn w:val="10"/>
    <w:qFormat/>
    <w:uiPriority w:val="0"/>
    <w:rPr>
      <w:rFonts w:hint="eastAsia" w:ascii="方正仿宋_GBK" w:hAnsi="方正仿宋_GBK" w:eastAsia="方正仿宋_GBK" w:cs="方正仿宋_GBK"/>
      <w:color w:val="000000"/>
      <w:sz w:val="24"/>
      <w:szCs w:val="24"/>
      <w:u w:val="single"/>
    </w:rPr>
  </w:style>
  <w:style w:type="character" w:customStyle="1" w:styleId="33">
    <w:name w:val="font01"/>
    <w:basedOn w:val="10"/>
    <w:qFormat/>
    <w:uiPriority w:val="0"/>
    <w:rPr>
      <w:rFonts w:hint="eastAsia" w:ascii="方正仿宋_GBK" w:hAnsi="方正仿宋_GBK" w:eastAsia="方正仿宋_GBK" w:cs="方正仿宋_GBK"/>
      <w:color w:val="000000"/>
      <w:sz w:val="24"/>
      <w:szCs w:val="24"/>
      <w:u w:val="single"/>
    </w:rPr>
  </w:style>
  <w:style w:type="character" w:customStyle="1" w:styleId="34">
    <w:name w:val="font112"/>
    <w:basedOn w:val="10"/>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1119</Words>
  <Characters>6379</Characters>
  <Lines>53</Lines>
  <Paragraphs>14</Paragraphs>
  <TotalTime>0</TotalTime>
  <ScaleCrop>false</ScaleCrop>
  <LinksUpToDate>false</LinksUpToDate>
  <CharactersWithSpaces>7484</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2020-10-27T14:24:00Z</dcterms:created>
  <dc:creator>邓芳®</dc:creator>
  <cp:lastModifiedBy>kylin</cp:lastModifiedBy>
  <cp:lastPrinted>2020-11-03T15:01:00Z</cp:lastPrinted>
  <dcterms:modified xsi:type="dcterms:W3CDTF">2024-01-03T15:39:10Z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KSOSaveFontToCloudKey">
    <vt:lpwstr>396155982_cloud</vt:lpwstr>
  </property>
</Properties>
</file>