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13268" w:type="dxa"/>
        <w:tblInd w:w="-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"/>
        <w:gridCol w:w="2994"/>
        <w:gridCol w:w="556"/>
        <w:gridCol w:w="554"/>
        <w:gridCol w:w="554"/>
        <w:gridCol w:w="539"/>
        <w:gridCol w:w="32"/>
        <w:gridCol w:w="509"/>
        <w:gridCol w:w="526"/>
        <w:gridCol w:w="509"/>
        <w:gridCol w:w="747"/>
        <w:gridCol w:w="333"/>
        <w:gridCol w:w="643"/>
        <w:gridCol w:w="467"/>
        <w:gridCol w:w="1095"/>
        <w:gridCol w:w="8"/>
        <w:gridCol w:w="38"/>
        <w:gridCol w:w="959"/>
        <w:gridCol w:w="67"/>
        <w:gridCol w:w="988"/>
        <w:gridCol w:w="125"/>
        <w:gridCol w:w="876"/>
        <w:gridCol w:w="2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90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附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32"/>
                <w:szCs w:val="32"/>
                <w:highlight w:val="none"/>
                <w:lang w:eastAsia="zh-CN" w:bidi="ar"/>
              </w:rPr>
              <w:t>件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1</w:t>
            </w:r>
          </w:p>
        </w:tc>
        <w:tc>
          <w:tcPr>
            <w:tcW w:w="1108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539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6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7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76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0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55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01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90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22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atLeas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收    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合计</w:t>
            </w:r>
          </w:p>
        </w:tc>
        <w:tc>
          <w:tcPr>
            <w:tcW w:w="10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区级</w:t>
            </w:r>
          </w:p>
        </w:tc>
        <w:tc>
          <w:tcPr>
            <w:tcW w:w="10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乡镇级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合计</w:t>
            </w:r>
          </w:p>
        </w:tc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区级</w:t>
            </w:r>
          </w:p>
        </w:tc>
        <w:tc>
          <w:tcPr>
            <w:tcW w:w="11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乡镇级</w:t>
            </w:r>
          </w:p>
        </w:tc>
        <w:tc>
          <w:tcPr>
            <w:tcW w:w="9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合计</w:t>
            </w:r>
          </w:p>
        </w:tc>
        <w:tc>
          <w:tcPr>
            <w:tcW w:w="10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区级</w:t>
            </w:r>
          </w:p>
        </w:tc>
        <w:tc>
          <w:tcPr>
            <w:tcW w:w="10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atLeas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9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收入总计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962,723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915,297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1,164,971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1,096,835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68,136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202,248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181,538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20,710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一、本级收入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379,011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379,011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412,106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412,106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33,095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33,095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（一）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税收收入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205,962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205,962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183,500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183,500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-22,462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-22,462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增值税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75,097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75,097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-14,903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-14,903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企业所得税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22,200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22,200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11,457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11,457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-10,743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-10,743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个人所得税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8,813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8,813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资源税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2,562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2,562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-1,855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-1,855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城市维护建设税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38,990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38,990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房产税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5,667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5,667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印花税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2,471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2,471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471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城镇土地使用税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10,100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10,100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17,927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17,927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7,827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7,827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土地增值税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5,331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5,331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2,831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2,831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耕地占用税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2,584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2,584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-6,416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-6,416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契税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12,500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12,500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11,735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11,735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-765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-765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烟叶税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2,423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2,423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-377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-377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环境保护税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-202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-202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其他税收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 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（二）非税收入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173,049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173,049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228,606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228,606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55,557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55,557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专项收入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37,310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37,310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28,386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28,386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-8,924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-8,924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行政事业性收费收入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10,297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10,297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-8,897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-8,897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罚没收入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9,769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9,769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14,177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14,177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4,408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4,408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国有资源（资产）有偿使用收入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114,040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114,040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180,040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180,040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66,000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66,000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政府住房基金收入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494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494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-52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捐赠收入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2,804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2,804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2,737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2,743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1,020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1,020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1,305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1,305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二、转移性收入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583,712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536,286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752,865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684,729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68,136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169,153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148,443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20,710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（一）上级补助收入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286,807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239,381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402,348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334,212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68,136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115,541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94,831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20,710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1.返还性转移支付收入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50,273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50,273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50,273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50,273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消费税返还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33,230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33,230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33,230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33,230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增值税返还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15,025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15,025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15,025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15,025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所得税基数返还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2,018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2,018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2,018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2,018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2.一般性转移支付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225,161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177,735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310,694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247,561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63,133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85,533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69,826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15,707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体制补助收入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-47,426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-47,408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均衡性转移支付收入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28,834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28,834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31,996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31,996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3,162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3,162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县级基本财力保障机制奖补资金收入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13,914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13,914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17,473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17,473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3,559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3,559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结算补助收入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11,300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11,300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17,608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17,608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6,308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6,308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产粮（油）大县奖励资金收入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90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 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9" w:hRule="atLeas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81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重点生态功能区转移支付收入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4,557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4,557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5,867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5,867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1,310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1,310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80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固定数额补助收入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14,987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14,987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14,987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14,987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革命老区转移支付收入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2,183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2,183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2,183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2,183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民族地区转移支付收入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24,599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24,599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24,599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24,599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巩固脱贫攻坚成果衔接乡村振兴转移支付收入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18,111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18,111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22,286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14,054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8,232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4,175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-4,057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8,232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一般公共服务共同财政事权转移支付收入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8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公共安全共同财政事权转移支付收入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5,016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5,016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5,631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5,196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435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615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65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教育共同财政事权转移支付收入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28,215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28,215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30,396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30,394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2,181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2,179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91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科学技术共同财政事权转移支付收入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7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文化旅游体育与传媒共同财政事权转移支付收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866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866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1,134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1,090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224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社会保障和就业共同财政事权转移支付收入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20,815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20,815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27,756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25,264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2,492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6,941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4,449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2,492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医疗卫生共同财政事权转移支付收入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13,818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13,818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37,785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37,759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23,967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23,941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节能环保共同财政事权转移支付收入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590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590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843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843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农林水共同财政事权转移支付收入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25,227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25,227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32,716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30,950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1,766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7,489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5,723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1,766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交通运输共同财政事权转移支付收入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7,214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7,214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18,966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16,294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2,672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11,752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9,080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2,672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住房保障共同财政事权转移支付收入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3,546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3,546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16,594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16,586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13,048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13,040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66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灾害防治及应急管理共同财政事权转移支付收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其他一般性转移支付收入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1,250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1,250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1,479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1,454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204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22" w:hRule="exact"/>
        </w:trPr>
        <w:tc>
          <w:tcPr>
            <w:tcW w:w="3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3.专项转移支付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11,373 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11,373 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41,381 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36,378 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5,003 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30,008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25,005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5,003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81" w:hRule="exact"/>
        </w:trPr>
        <w:tc>
          <w:tcPr>
            <w:tcW w:w="3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一般公共服务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632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6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57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6" w:hRule="exac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 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21" w:hRule="exac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教育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文化旅游体育与传媒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1,053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999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1,053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799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799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799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574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-574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574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节能环保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1,761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1,761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1,613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1,613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2,518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2,518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13,323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13,323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10,805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10,805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农林水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3,358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3,358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6,333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3,211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3,122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2,975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-147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3,122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交通运输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4,567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4,567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4,432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4,432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资源勘探工业信息等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-372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-372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商业服务业等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2,465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2,465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1,028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530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498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-1,437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-1,935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498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自然资源海洋气象等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住房保障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灾害防治及应急管理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1,430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1,430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10,442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9,897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545 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9,012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8,467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（二）动用预算稳定调节基金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30,000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30,000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（三）调入资金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18,182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18,182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8,182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8,182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（四）债务转贷收入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67,770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67,770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113,200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113,200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45,430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45,430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76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地方政府一般债务转贷收入（再融资）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67,770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67,770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86,600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86,600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18,830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18,830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5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w w:val="8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地方政府一般债务转贷收入（新增债券）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26,600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26,600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26,600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26,600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5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（五）待偿债再融资一般债券结余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13,298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13,298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13,298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13,298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default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（六）上年结转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175,837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175,837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175,837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175,837 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20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0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4" w:hRule="exac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4" w:hRule="exac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4" w:hRule="exac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支出总计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962,723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915,297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1,164,971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1,096,835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68,136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202,248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181,538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20,710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一、本级支出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849,825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802,399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47,426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1,039,657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971,521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68,136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189,832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169,122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20,710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（一）一般公共服务支出              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61,469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46,139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15,330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62,573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46,525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16,048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1,104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（二）国防支出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（三）公共安全支出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23,668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23,568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27,826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27,290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536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4,158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3,722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436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（四）教育支出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149,805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149,805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163,515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163,515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13,710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13,710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（五）科学技术支出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9,927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9,927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6,942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6,937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-2,985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-2,990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（六）文化旅游体育与传媒支出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14,086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12,605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1,481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15,466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13,687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1,779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1,380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1,082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（七）社会保障和就业支出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86,458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78,638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7,820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105,879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96,128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9,751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19,421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17,490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1,931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（八）卫生健康支出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85,547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82,746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2,801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103,298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100,396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2,902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17,751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17,650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（九）节能环保支出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22,225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20,677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1,548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22,414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19,422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2,992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-1,255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1,444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（十）城乡社区支出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20,183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20,113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30,593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30,286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307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10,410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10,173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（十一）农林水支出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142,153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130,532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11,621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166,875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143,652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23,223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24,722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13,120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11,602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（十二）交通运输支出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23,890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22,770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1,120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40,269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36,563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3,706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16,379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13,793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2,586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（十三）资源勘探</w:t>
            </w:r>
            <w:r>
              <w:rPr>
                <w:rFonts w:hint="eastAsia" w:eastAsia="方正楷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工业</w:t>
            </w: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信息等支出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111,269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111,269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170,627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170,627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59,358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59,358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（十四）商业服务业等支出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5,176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5,176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5,517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4,996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521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341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-180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20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20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5" w:hRule="atLeas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0" w:hRule="exac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25" w:hRule="exac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（十</w:t>
            </w: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五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）自然资源海洋气象支出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3,541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3,541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4,024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3,638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386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483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（十</w:t>
            </w: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）住房保障支出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23,447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21,334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2,113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36,544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34,442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2,102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13,097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13,108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（十</w:t>
            </w: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七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）粮油物资储备支出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（十</w:t>
            </w: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八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）灾害防治及应急管理支出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19,293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15,871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3,422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28,832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24,954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3,878 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9,539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9,083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456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十九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）预备费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8,867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8,867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-133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-133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（二十）债务付息支出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38,294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38,294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39,164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39,164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870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870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5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（二十一）债务发行费用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51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二、转移性支出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112,898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112,898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125,314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125,314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12,416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12,416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（一）地方政府债务还本支出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89,898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89,898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103,314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103,314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13,416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13,416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（二）上解支出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23,000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23,000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22,000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22,000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-1,000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-1,000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1.体制上解支出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214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214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214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2.专项上解支出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22,786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22,786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21,786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21,786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-1,000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-1,000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51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地税系统经费结算上解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个人所得税征收经费上解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6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“三代”手续费上解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627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627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627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627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5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契税征管经费上解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90" w:hRule="atLeast"/>
        </w:trPr>
        <w:tc>
          <w:tcPr>
            <w:tcW w:w="13119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一般公共预算调整预算收支总表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20" w:hRule="atLeast"/>
        </w:trPr>
        <w:tc>
          <w:tcPr>
            <w:tcW w:w="355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</w:rPr>
            </w:pPr>
          </w:p>
        </w:tc>
        <w:tc>
          <w:tcPr>
            <w:tcW w:w="20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5" w:hRule="atLeast"/>
        </w:trPr>
        <w:tc>
          <w:tcPr>
            <w:tcW w:w="13119" w:type="dxa"/>
            <w:gridSpan w:val="2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2" w:hRule="atLeast"/>
        </w:trPr>
        <w:tc>
          <w:tcPr>
            <w:tcW w:w="3550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32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3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调整预算数</w:t>
            </w:r>
          </w:p>
        </w:tc>
        <w:tc>
          <w:tcPr>
            <w:tcW w:w="30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62" w:hRule="atLeast"/>
        </w:trPr>
        <w:tc>
          <w:tcPr>
            <w:tcW w:w="355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区级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乡镇级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98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机关事业单位养老保险基金收支缺口财政补助上解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4,600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4,600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2,702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2,702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-1,898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-1,898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95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城乡居民养老保险政府补贴上解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1,200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1,200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1,817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1,817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617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617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80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税务上划基数上解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66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审计上划基数上解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730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730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730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730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56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检法上划基数上解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61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可再生能源电价附加和重大水利工程建设基金增值税上解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26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交强险营业税上解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2,302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2,302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2,302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2,302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93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旅游职业学院上划基数上解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66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校舍安全保障补助专项上解基数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319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348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348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09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委托市级储备地方粮食储备费上解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454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政府债券发行费及发行登记费上解（一般债券）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7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监察体制改革非税划转基数上解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323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323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315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2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清算流域横向生态保护补偿资金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53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留抵退税财力清算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274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义务兵家庭优待金事权与支出责任上解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4,700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34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慈母山管理中心办案保障资金上解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218 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218 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218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48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森林植被恢复费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25" w:type="dxa"/>
          <w:wAfter w:w="24" w:type="dxa"/>
          <w:trHeight w:val="314" w:hRule="exact"/>
        </w:trPr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其他专项上解</w:t>
            </w:r>
          </w:p>
        </w:tc>
        <w:tc>
          <w:tcPr>
            <w:tcW w:w="1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-358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-358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12368" w:type="dxa"/>
            <w:gridSpan w:val="21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附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32"/>
                <w:szCs w:val="32"/>
                <w:highlight w:val="none"/>
                <w:lang w:eastAsia="zh-CN" w:bidi="ar"/>
              </w:rPr>
              <w:t>件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</w:trPr>
        <w:tc>
          <w:tcPr>
            <w:tcW w:w="13268" w:type="dxa"/>
            <w:gridSpan w:val="23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政府性基金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预算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调整预算收支总表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3119" w:type="dxa"/>
            <w:gridSpan w:val="2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10" w:type="dxa"/>
            <w:gridSpan w:val="2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gridSpan w:val="3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4875" w:type="dxa"/>
            <w:gridSpan w:val="10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039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638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入</w:t>
            </w:r>
          </w:p>
        </w:tc>
        <w:tc>
          <w:tcPr>
            <w:tcW w:w="687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283,657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567,086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283,429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283,657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567,086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283,429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一、本级收入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156,000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123,906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-32,094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一、本级支出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204,480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318,658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114,178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（一）土地出让金收入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150,000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111,382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-38,618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（一）文化旅游体育与传媒支出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国有土地使用权出让收入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97,480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69,151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-28,329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旅游发展基金支出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划拨土地收入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50,000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38,997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-11,003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（二）节能环保支出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14,500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14,500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农业土地开发资金收入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-48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超长期特别国债安排的支出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14,500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14,500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国有土地收益基金收入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3,162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762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（三）城乡社区支出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150,662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136,568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-14,094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（二）城市基础设施配套费收入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5,100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11,399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6,299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国有土地使用权出让收入安排的支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140,980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97,098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-43,882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（三）污水处理费收入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1,125 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 </w:t>
            </w: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国有土地收益基金安排的支出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2,400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3,162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762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农业土地开发资金安排的支出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185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137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-48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城市基础设施配套费安排的支出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6,197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12,617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6,420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污水处理费安排的支出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1,897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超长期特别国债安排的支出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21,657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21,657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（四）农林水支出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2,479 </w:t>
            </w: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4,519 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2,040 </w:t>
            </w:r>
          </w:p>
        </w:tc>
      </w:tr>
    </w:tbl>
    <w:p>
      <w:pPr>
        <w:spacing w:line="240" w:lineRule="auto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  <w:r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  <w:br w:type="page"/>
      </w:r>
    </w:p>
    <w:tbl>
      <w:tblPr>
        <w:tblStyle w:val="14"/>
        <w:tblW w:w="13309" w:type="dxa"/>
        <w:tblInd w:w="-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9"/>
        <w:gridCol w:w="1110"/>
        <w:gridCol w:w="1125"/>
        <w:gridCol w:w="1035"/>
        <w:gridCol w:w="3840"/>
        <w:gridCol w:w="1026"/>
        <w:gridCol w:w="1113"/>
        <w:gridCol w:w="94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13309" w:type="dxa"/>
            <w:gridSpan w:val="8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政府性基金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预算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 xml:space="preserve">调整预算收支总表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3119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10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4875" w:type="dxa"/>
            <w:gridSpan w:val="2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080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63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入</w:t>
            </w:r>
          </w:p>
        </w:tc>
        <w:tc>
          <w:tcPr>
            <w:tcW w:w="6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yellow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yellow"/>
                <w:lang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yellow"/>
                <w:lang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yellow"/>
                <w:lang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大中型水库库区基金安排的支出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1,897    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1,897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大中型水库移民后期扶持基金支出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567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2,607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2,040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小型水库移民扶助基金安排的支出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（五）交通运输支出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超长期特别国债安排的支出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（六）资源勘探工业信息等支出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604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604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超长期特别国债安排的支出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604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604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（七）住房保障支出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超长期特别国债安排的支出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（八）其他支出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18,682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129,399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110,717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其他政府性基金及对应专项债务收入安排的支出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11,652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123,252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111,600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彩票公益金安排的支出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7,030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6,147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-883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（九）债务付息支出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32,589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32,848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方正楷体_GBK" w:hAnsi="方正楷体_GBK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（十）债务发行费用支出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</w:tr>
    </w:tbl>
    <w:p>
      <w:pPr>
        <w:spacing w:line="240" w:lineRule="auto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tbl>
      <w:tblPr>
        <w:tblStyle w:val="14"/>
        <w:tblW w:w="13309" w:type="dxa"/>
        <w:tblInd w:w="-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9"/>
        <w:gridCol w:w="1110"/>
        <w:gridCol w:w="1125"/>
        <w:gridCol w:w="1035"/>
        <w:gridCol w:w="3840"/>
        <w:gridCol w:w="1026"/>
        <w:gridCol w:w="1113"/>
        <w:gridCol w:w="94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13309" w:type="dxa"/>
            <w:gridSpan w:val="8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政府性基金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预算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 xml:space="preserve">调整预算收支总表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3119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10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4875" w:type="dxa"/>
            <w:gridSpan w:val="2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080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63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入</w:t>
            </w:r>
          </w:p>
        </w:tc>
        <w:tc>
          <w:tcPr>
            <w:tcW w:w="6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方正黑体_GBK" w:hAnsi="方正黑体_GBK" w:eastAsia="方正黑体_GBK" w:cs="方正黑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二、转移性收入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127,657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443,180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315,523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（十一）抗疫特别国债安排的支出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（一）上级补助收入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7,014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48,237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41,223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基础设施建设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（二）债务转贷收入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342,300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274,300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二、转移性支出 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79,177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248,428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169,251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地方政府专项债务转贷收入</w:t>
            </w:r>
            <w:r>
              <w:rPr>
                <w:rFonts w:hint="eastAsia" w:ascii="方正仿宋_GBK" w:hAnsi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再融资）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68,000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322,300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254,300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（一）上解支出 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8,369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-1,631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地方政府专项债务转贷收入</w:t>
            </w:r>
            <w:r>
              <w:rPr>
                <w:rFonts w:hint="eastAsia" w:ascii="方正仿宋_GBK" w:hAnsi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新增债）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20,000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20,000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（二）调出资金 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8,182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8,182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（三）待偿债再融资专项债券结余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1,177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1,177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（三）地方政府专项债务还本支出 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69,177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231,877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162,700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（四）上年结转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51,466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51,466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地方政府专项债务还本支出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69,177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231,877 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162,700 </w:t>
            </w:r>
          </w:p>
        </w:tc>
      </w:tr>
    </w:tbl>
    <w:p>
      <w:pPr>
        <w:spacing w:line="240" w:lineRule="auto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p>
      <w:pPr>
        <w:pStyle w:val="2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p>
      <w:pPr>
        <w:pStyle w:val="2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p>
      <w:pPr>
        <w:pStyle w:val="2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p>
      <w:pPr>
        <w:pStyle w:val="2"/>
        <w:rPr>
          <w:rFonts w:hint="default" w:ascii="Times New Roman" w:hAnsi="Times New Roman" w:eastAsia="宋体"/>
          <w:color w:val="auto"/>
          <w:kern w:val="2"/>
          <w:sz w:val="21"/>
          <w:szCs w:val="24"/>
          <w:highlight w:val="none"/>
        </w:rPr>
      </w:pPr>
    </w:p>
    <w:tbl>
      <w:tblPr>
        <w:tblStyle w:val="14"/>
        <w:tblW w:w="13268" w:type="dxa"/>
        <w:tblInd w:w="-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9"/>
        <w:gridCol w:w="1110"/>
        <w:gridCol w:w="1125"/>
        <w:gridCol w:w="1035"/>
        <w:gridCol w:w="3840"/>
        <w:gridCol w:w="1026"/>
        <w:gridCol w:w="1113"/>
        <w:gridCol w:w="9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12368" w:type="dxa"/>
            <w:gridSpan w:val="7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附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2"/>
                <w:szCs w:val="32"/>
                <w:highlight w:val="none"/>
                <w:lang w:eastAsia="zh-CN" w:bidi="ar"/>
              </w:rPr>
              <w:t>件</w:t>
            </w:r>
            <w:r>
              <w:rPr>
                <w:rFonts w:hint="eastAsia" w:eastAsia="方正黑体_GBK" w:cs="Times New Roman"/>
                <w:bCs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13268" w:type="dxa"/>
            <w:gridSpan w:val="8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黔江区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202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eastAsia="zh-CN" w:bidi="ar"/>
              </w:rPr>
              <w:t>年</w:t>
            </w:r>
            <w:bookmarkStart w:id="0" w:name="_GoBack"/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国有资本经营预算调整</w:t>
            </w:r>
            <w:r>
              <w:rPr>
                <w:rFonts w:hint="eastAsia" w:eastAsia="方正小标宋_GBK" w:cs="Times New Roman"/>
                <w:color w:val="auto"/>
                <w:kern w:val="0"/>
                <w:sz w:val="44"/>
                <w:szCs w:val="44"/>
                <w:highlight w:val="none"/>
                <w:lang w:val="en-US" w:eastAsia="zh-CN" w:bidi="ar"/>
              </w:rPr>
              <w:t>预算</w:t>
            </w:r>
            <w:bookmarkEnd w:id="0"/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44"/>
                <w:szCs w:val="44"/>
                <w:highlight w:val="none"/>
                <w:lang w:bidi="ar"/>
              </w:rPr>
              <w:t>收支总表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3119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10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4875" w:type="dxa"/>
            <w:gridSpan w:val="2"/>
            <w:noWrap w:val="0"/>
            <w:vAlign w:val="bottom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039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righ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</w:rPr>
              <w:t>单位：万元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63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收   入</w:t>
            </w:r>
          </w:p>
        </w:tc>
        <w:tc>
          <w:tcPr>
            <w:tcW w:w="6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支   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较年初预算+/-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  <w:t>预算科目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202</w:t>
            </w:r>
            <w:r>
              <w:rPr>
                <w:rFonts w:hint="eastAsia" w:eastAsia="方正黑体_GBK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年调整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预算数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较年初预算+/-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15,785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17,594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1,809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15,785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17,594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一、本级收入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13,809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1,809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一、本级支出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5,785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7,594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（一）利润收入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12,000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13,809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1,809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（一）解决历史遗留问题及改革支出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（二）股利、股息收入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（二）国有企业资本金注入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（三）清算收入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（三）国有企业政策性补贴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（四）其他国有资本经营预算收入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（四）金融国有资本经营预算支出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二、转移性收入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3,785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3,785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（五）其他国有资本经营预算支出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5,688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7,497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1,809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（一）上级补助收入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二、转移性支出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（二）上年结转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3,688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3,688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Times New Roman" w:hAnsi="Times New Roman" w:eastAsia="方正黑体_GBK" w:cs="方正黑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方正楷体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10,000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2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2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</w:p>
    <w:p>
      <w:pPr>
        <w:pStyle w:val="6"/>
        <w:bidi w:val="0"/>
        <w:rPr>
          <w:rFonts w:hint="default" w:ascii="Times New Roman" w:hAnsi="Times New Roman" w:eastAsia="方正仿宋_GBK" w:cs="Times New Roman"/>
          <w:snapToGrid w:val="0"/>
          <w:color w:val="auto"/>
          <w:kern w:val="32"/>
          <w:sz w:val="32"/>
          <w:szCs w:val="32"/>
          <w:highlight w:val="none"/>
          <w:lang w:val="en-US" w:eastAsia="zh-CN" w:bidi="ar-SA"/>
        </w:rPr>
        <w:sectPr>
          <w:footerReference r:id="rId3" w:type="default"/>
          <w:pgSz w:w="16838" w:h="11906" w:orient="landscape"/>
          <w:pgMar w:top="1587" w:right="2098" w:bottom="1474" w:left="1984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14"/>
        <w:tblW w:w="88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36"/>
        <w:gridCol w:w="2244"/>
        <w:gridCol w:w="4716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30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附件</w:t>
            </w:r>
            <w:r>
              <w:rPr>
                <w:rFonts w:hint="eastAsia" w:eastAsia="方正黑体_GBK" w:cs="Times New Roman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  <w:tblHeader/>
        </w:trPr>
        <w:tc>
          <w:tcPr>
            <w:tcW w:w="88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黔江区2024年新增债券资金安排明细表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88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3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47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46,600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一、新增一般债券资金安排小计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26,600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区住房城乡建委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传统村落集中连片保护利用示范项目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区住房保障中心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保障性安居工程项目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区规划自然资源局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土地整治项目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区规划自然资源局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地质灾害综合治理项目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432.11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中心医院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武陵山区域医疗中心项目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3960.65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濯水镇养老服务中心改造升级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区退役军人事务局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烈士陵园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区农业农村委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入户道路（村社便道）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区农业农村委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现代农业产业园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区民宗委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人居环境整治及产业路建设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区公安局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黔江区公共安全视频建设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区公安局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道路交通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信息系统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优化项目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区发展改革委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石会镇人居环境综合整治项目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255.5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区文化旅游委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阿蓬江镇神龟峡基础设施建设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区文化旅游委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体育场地建设项目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区教委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民族职业教育中心迁建工程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区教委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黔江区西村小学建设工程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区教委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黔江区专门学校建设工程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武陵初级中学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黔江区武陵中学学生宿舍楼工程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各乡镇街道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雪亮工程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暨两级综治中心建设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黎水镇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公共服务中心建设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冯家街道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养老服务场所建设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石会镇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关后社区集体经济光伏项目基础设施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阿蓬江镇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阿蓬江镇社区基础设施建设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区委办公室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黔江区信息技术创新工程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区委办公室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“党建·区县重要工作落实一件事”应用系统建设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区纪委监委机关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黔江留置中心改造及安防工程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区国资委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武警支队营房搬迁工程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区规划自然资源局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黔江区武警中队打靶场岩溶塌陷应急抢险治理工程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区委宣传部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“文化·论坛讲座管理一件事”应用建设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区发展改革委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民兵训练场地消防基础设施建设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区委网信办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黔江区网络安全协调指挥平台建设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区文化旅游委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黔江区应急广播系统建设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区发展改革委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渝东南人防应急指挥中心及人员隐蔽工程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区大数据发展局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区数字化城市运行和治理中心平台能力提升项目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区城管局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黔江区舟白隧道洞口山体滑坡应急抢险工程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区机关事务中心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黔江区应急调度平台系统建设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二、新增专项债券安排小计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国资委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渝东南再生资源回收利用基地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水利局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黔江区农村供水重点水源工程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区住房城乡建委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黔江区石城社区老旧小区改造及配套基础设施建设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b w:val="0"/>
          <w:bCs w:val="0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MjMxZmQ3MjZhYWMxMDJlNDAxODFiZGE1Y2ZiMDgifQ=="/>
  </w:docVars>
  <w:rsids>
    <w:rsidRoot w:val="51186AC7"/>
    <w:rsid w:val="002B1AE1"/>
    <w:rsid w:val="01157963"/>
    <w:rsid w:val="011B1734"/>
    <w:rsid w:val="01262765"/>
    <w:rsid w:val="014C6B51"/>
    <w:rsid w:val="016E0BEC"/>
    <w:rsid w:val="01B70A7F"/>
    <w:rsid w:val="0354244F"/>
    <w:rsid w:val="042F0014"/>
    <w:rsid w:val="0485308A"/>
    <w:rsid w:val="048D79D7"/>
    <w:rsid w:val="052533EF"/>
    <w:rsid w:val="05722FCA"/>
    <w:rsid w:val="05DA343D"/>
    <w:rsid w:val="064F3A5E"/>
    <w:rsid w:val="06544633"/>
    <w:rsid w:val="0A352EDA"/>
    <w:rsid w:val="0A7D5DAE"/>
    <w:rsid w:val="0AAB02DA"/>
    <w:rsid w:val="0AF81AF7"/>
    <w:rsid w:val="0B6A41C9"/>
    <w:rsid w:val="0C2C79A4"/>
    <w:rsid w:val="0CB921A7"/>
    <w:rsid w:val="0CDD146A"/>
    <w:rsid w:val="0D091D9A"/>
    <w:rsid w:val="0D665A71"/>
    <w:rsid w:val="0D7D0528"/>
    <w:rsid w:val="0D846E17"/>
    <w:rsid w:val="0DBD5052"/>
    <w:rsid w:val="0DE40111"/>
    <w:rsid w:val="0E053274"/>
    <w:rsid w:val="0E3A41D5"/>
    <w:rsid w:val="0E405400"/>
    <w:rsid w:val="0ED93F42"/>
    <w:rsid w:val="0F585430"/>
    <w:rsid w:val="100A1780"/>
    <w:rsid w:val="124E2DD7"/>
    <w:rsid w:val="12B741D8"/>
    <w:rsid w:val="1348329D"/>
    <w:rsid w:val="13CE0271"/>
    <w:rsid w:val="142C2170"/>
    <w:rsid w:val="143E3A81"/>
    <w:rsid w:val="14E6501B"/>
    <w:rsid w:val="15302042"/>
    <w:rsid w:val="157B115B"/>
    <w:rsid w:val="16BA3B3E"/>
    <w:rsid w:val="170A08E2"/>
    <w:rsid w:val="17A66DD7"/>
    <w:rsid w:val="17C94022"/>
    <w:rsid w:val="180F47C8"/>
    <w:rsid w:val="1890045E"/>
    <w:rsid w:val="190A3555"/>
    <w:rsid w:val="19374E9D"/>
    <w:rsid w:val="19920816"/>
    <w:rsid w:val="19B62D47"/>
    <w:rsid w:val="1C430102"/>
    <w:rsid w:val="1CB6206E"/>
    <w:rsid w:val="1D1178D7"/>
    <w:rsid w:val="1E144FC0"/>
    <w:rsid w:val="1E561C6C"/>
    <w:rsid w:val="1F00696E"/>
    <w:rsid w:val="1F5E41C7"/>
    <w:rsid w:val="20204FEF"/>
    <w:rsid w:val="21B72B46"/>
    <w:rsid w:val="21D24EBD"/>
    <w:rsid w:val="224A6765"/>
    <w:rsid w:val="229434A3"/>
    <w:rsid w:val="22AF679F"/>
    <w:rsid w:val="22C407E5"/>
    <w:rsid w:val="232F6960"/>
    <w:rsid w:val="23D51975"/>
    <w:rsid w:val="24504F9C"/>
    <w:rsid w:val="24797EF3"/>
    <w:rsid w:val="25CC1A97"/>
    <w:rsid w:val="26071BCB"/>
    <w:rsid w:val="26325817"/>
    <w:rsid w:val="264E141D"/>
    <w:rsid w:val="26DA3D9D"/>
    <w:rsid w:val="279B3FA3"/>
    <w:rsid w:val="28982548"/>
    <w:rsid w:val="29931DF2"/>
    <w:rsid w:val="29AF0543"/>
    <w:rsid w:val="29BD567A"/>
    <w:rsid w:val="2A8B1B1B"/>
    <w:rsid w:val="2B337563"/>
    <w:rsid w:val="2BA863A6"/>
    <w:rsid w:val="2C1E1CA0"/>
    <w:rsid w:val="2C4169E5"/>
    <w:rsid w:val="2C764495"/>
    <w:rsid w:val="2D356D2F"/>
    <w:rsid w:val="2EFE3151"/>
    <w:rsid w:val="319E0955"/>
    <w:rsid w:val="31C116BA"/>
    <w:rsid w:val="32027AD8"/>
    <w:rsid w:val="329E4DC8"/>
    <w:rsid w:val="32BA21BB"/>
    <w:rsid w:val="341C1998"/>
    <w:rsid w:val="35C16E06"/>
    <w:rsid w:val="363D2581"/>
    <w:rsid w:val="36985BC8"/>
    <w:rsid w:val="37206D0F"/>
    <w:rsid w:val="373E53AD"/>
    <w:rsid w:val="3752566C"/>
    <w:rsid w:val="37EC16AC"/>
    <w:rsid w:val="39A14B17"/>
    <w:rsid w:val="39C34F7E"/>
    <w:rsid w:val="39E430C3"/>
    <w:rsid w:val="3BB873DC"/>
    <w:rsid w:val="3C904321"/>
    <w:rsid w:val="3D1551D8"/>
    <w:rsid w:val="3F445651"/>
    <w:rsid w:val="3F60559D"/>
    <w:rsid w:val="3FB74061"/>
    <w:rsid w:val="3FC87D00"/>
    <w:rsid w:val="3FE641CE"/>
    <w:rsid w:val="400B401C"/>
    <w:rsid w:val="40ED4361"/>
    <w:rsid w:val="41306D8C"/>
    <w:rsid w:val="41B92BB3"/>
    <w:rsid w:val="41E008DF"/>
    <w:rsid w:val="43CA32A3"/>
    <w:rsid w:val="44F673C4"/>
    <w:rsid w:val="453811DD"/>
    <w:rsid w:val="469E05DC"/>
    <w:rsid w:val="476F6E48"/>
    <w:rsid w:val="47BA3976"/>
    <w:rsid w:val="49345CE9"/>
    <w:rsid w:val="49D863B8"/>
    <w:rsid w:val="4A3C2CC1"/>
    <w:rsid w:val="4AFC538C"/>
    <w:rsid w:val="4B281F34"/>
    <w:rsid w:val="4B691E1D"/>
    <w:rsid w:val="4BCD451B"/>
    <w:rsid w:val="4C716375"/>
    <w:rsid w:val="4CE5526A"/>
    <w:rsid w:val="4D673BBB"/>
    <w:rsid w:val="4E37235F"/>
    <w:rsid w:val="4F057DFF"/>
    <w:rsid w:val="4FE655F5"/>
    <w:rsid w:val="507054A4"/>
    <w:rsid w:val="50CA5285"/>
    <w:rsid w:val="51186AC7"/>
    <w:rsid w:val="51385D77"/>
    <w:rsid w:val="51CA3E64"/>
    <w:rsid w:val="51CA4DDC"/>
    <w:rsid w:val="5496745E"/>
    <w:rsid w:val="54AF20EB"/>
    <w:rsid w:val="55311A51"/>
    <w:rsid w:val="55973014"/>
    <w:rsid w:val="55A57D27"/>
    <w:rsid w:val="5657450E"/>
    <w:rsid w:val="56CB7AD0"/>
    <w:rsid w:val="57F21135"/>
    <w:rsid w:val="589F257B"/>
    <w:rsid w:val="58E70CDD"/>
    <w:rsid w:val="598D1C5C"/>
    <w:rsid w:val="5C2A6333"/>
    <w:rsid w:val="5C8137F3"/>
    <w:rsid w:val="5D3E7B21"/>
    <w:rsid w:val="5F6708A7"/>
    <w:rsid w:val="5FF11F12"/>
    <w:rsid w:val="609F5503"/>
    <w:rsid w:val="60FC519A"/>
    <w:rsid w:val="619264DF"/>
    <w:rsid w:val="62294BD4"/>
    <w:rsid w:val="625C1915"/>
    <w:rsid w:val="62B84498"/>
    <w:rsid w:val="63A63014"/>
    <w:rsid w:val="63F254A9"/>
    <w:rsid w:val="64A302F8"/>
    <w:rsid w:val="6522491C"/>
    <w:rsid w:val="689717B6"/>
    <w:rsid w:val="69762DF4"/>
    <w:rsid w:val="699D4CD3"/>
    <w:rsid w:val="69A9482D"/>
    <w:rsid w:val="6A304294"/>
    <w:rsid w:val="6B0D5D55"/>
    <w:rsid w:val="6B181A14"/>
    <w:rsid w:val="6B445AC3"/>
    <w:rsid w:val="6BAC1B52"/>
    <w:rsid w:val="6BC3342D"/>
    <w:rsid w:val="6BCC4C0E"/>
    <w:rsid w:val="6C5933EF"/>
    <w:rsid w:val="6C703E24"/>
    <w:rsid w:val="6D857B13"/>
    <w:rsid w:val="6D9942AA"/>
    <w:rsid w:val="6E160D96"/>
    <w:rsid w:val="6ED519E6"/>
    <w:rsid w:val="6F1243F2"/>
    <w:rsid w:val="6F3D3B3E"/>
    <w:rsid w:val="71F13CCE"/>
    <w:rsid w:val="72A746B3"/>
    <w:rsid w:val="73D46B4F"/>
    <w:rsid w:val="742026D2"/>
    <w:rsid w:val="745C59AD"/>
    <w:rsid w:val="749844A6"/>
    <w:rsid w:val="74FD08B2"/>
    <w:rsid w:val="75EC6776"/>
    <w:rsid w:val="76886344"/>
    <w:rsid w:val="77413BB6"/>
    <w:rsid w:val="77AD3040"/>
    <w:rsid w:val="797711C8"/>
    <w:rsid w:val="798E358B"/>
    <w:rsid w:val="79D04CC5"/>
    <w:rsid w:val="7A2C2CDC"/>
    <w:rsid w:val="7EE71BD1"/>
    <w:rsid w:val="7F8A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9"/>
    <w:pPr>
      <w:pBdr>
        <w:bottom w:val="single" w:color="4F81BD" w:sz="8" w:space="1"/>
      </w:pBdr>
      <w:spacing w:before="200" w:after="80"/>
      <w:outlineLvl w:val="1"/>
    </w:pPr>
    <w:rPr>
      <w:rFonts w:ascii="Cambria" w:hAnsi="Cambria" w:eastAsia="宋体" w:cs="Times New Roman"/>
      <w:color w:val="000000"/>
      <w:sz w:val="24"/>
      <w:szCs w:val="24"/>
    </w:rPr>
  </w:style>
  <w:style w:type="paragraph" w:styleId="5">
    <w:name w:val="heading 4"/>
    <w:basedOn w:val="4"/>
    <w:next w:val="1"/>
    <w:qFormat/>
    <w:uiPriority w:val="9"/>
    <w:pPr>
      <w:keepNext/>
      <w:keepLines/>
      <w:spacing w:before="280" w:after="290" w:line="376" w:lineRule="atLeast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  <w:rPr>
      <w:rFonts w:ascii="Calibri" w:hAnsi="Calibri" w:eastAsia="宋体" w:cs="Times New Roman"/>
      <w:szCs w:val="24"/>
    </w:rPr>
  </w:style>
  <w:style w:type="paragraph" w:styleId="6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7">
    <w:name w:val="Body Text Indent"/>
    <w:basedOn w:val="1"/>
    <w:qFormat/>
    <w:uiPriority w:val="0"/>
    <w:pPr>
      <w:adjustRightInd w:val="0"/>
      <w:snapToGrid w:val="0"/>
      <w:ind w:left="920" w:hanging="920" w:hangingChars="460"/>
    </w:pPr>
    <w:rPr>
      <w:rFonts w:eastAsia="仿宋_GB2312"/>
      <w:sz w:val="32"/>
    </w:rPr>
  </w:style>
  <w:style w:type="paragraph" w:styleId="8">
    <w:name w:val="toc 5"/>
    <w:next w:val="1"/>
    <w:qFormat/>
    <w:uiPriority w:val="0"/>
    <w:pPr>
      <w:widowControl w:val="0"/>
      <w:ind w:left="1680" w:leftChars="8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9">
    <w:name w:val="Plain Text"/>
    <w:basedOn w:val="1"/>
    <w:qFormat/>
    <w:uiPriority w:val="0"/>
    <w:pPr>
      <w:spacing w:line="594" w:lineRule="exact"/>
    </w:pPr>
    <w:rPr>
      <w:rFonts w:ascii="宋体" w:hAnsi="Courier New" w:cs="Courier New"/>
      <w:szCs w:val="21"/>
    </w:rPr>
  </w:style>
  <w:style w:type="paragraph" w:styleId="10">
    <w:name w:val="Date"/>
    <w:basedOn w:val="1"/>
    <w:next w:val="1"/>
    <w:unhideWhenUsed/>
    <w:qFormat/>
    <w:uiPriority w:val="99"/>
    <w:pPr>
      <w:ind w:left="100" w:leftChars="25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Body Text First Indent 2"/>
    <w:basedOn w:val="7"/>
    <w:qFormat/>
    <w:uiPriority w:val="0"/>
    <w:pPr>
      <w:spacing w:after="0" w:afterLines="0" w:line="300" w:lineRule="auto"/>
      <w:ind w:left="0" w:leftChars="0" w:firstLine="200" w:firstLineChars="200"/>
    </w:pPr>
  </w:style>
  <w:style w:type="paragraph" w:customStyle="1" w:styleId="16">
    <w:name w:val="PlainText"/>
    <w:basedOn w:val="1"/>
    <w:qFormat/>
    <w:uiPriority w:val="0"/>
    <w:pPr>
      <w:jc w:val="both"/>
      <w:textAlignment w:val="baseline"/>
    </w:pPr>
    <w:rPr>
      <w:rFonts w:ascii="宋体" w:hAnsi="Courier New" w:eastAsia="方正仿宋_GBK"/>
      <w:kern w:val="2"/>
      <w:sz w:val="32"/>
      <w:szCs w:val="24"/>
      <w:lang w:val="en-US" w:eastAsia="zh-CN" w:bidi="ar-SA"/>
    </w:rPr>
  </w:style>
  <w:style w:type="paragraph" w:customStyle="1" w:styleId="17">
    <w:name w:val="默认"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character" w:customStyle="1" w:styleId="18">
    <w:name w:val="font7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35</Pages>
  <Words>12699</Words>
  <Characters>18591</Characters>
  <Lines>0</Lines>
  <Paragraphs>0</Paragraphs>
  <TotalTime>5</TotalTime>
  <ScaleCrop>false</ScaleCrop>
  <LinksUpToDate>false</LinksUpToDate>
  <CharactersWithSpaces>19825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2024-06-28T14:49:00Z</dcterms:created>
  <dc:creator>Administrator</dc:creator>
  <cp:lastModifiedBy>Administrator</cp:lastModifiedBy>
  <cp:lastPrinted>2025-01-06T01:48:00Z</cp:lastPrinted>
  <dcterms:modified xsi:type="dcterms:W3CDTF">2025-07-14T03:05:57Z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0010EB85FFE14E47A94F87DCDB850C12</vt:lpwstr>
  </property>
</Properties>
</file>